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Times New Roman" w:hAnsi="Times New Roman"/>
          <w:b/>
          <w:color w:val="0F2240"/>
          <w:sz w:val="32"/>
        </w:rPr>
        <w:t>Data Analytics Capstone:</w:t>
        <w:br/>
        <w:t>Analysis of Facility and Unit Attributes under the EPA Clean Air Markets Program Using Statistical and Machine Learning Techniques</w:t>
      </w:r>
    </w:p>
    <w:p>
      <w:pPr>
        <w:spacing w:after="720"/>
        <w:jc w:val="center"/>
      </w:pPr>
      <w:r>
        <w:rPr>
          <w:rFonts w:ascii="Times New Roman" w:hAnsi="Times New Roman"/>
          <w:i/>
          <w:sz w:val="26"/>
        </w:rPr>
        <w:t>Interim Capstone Report</w:t>
      </w:r>
    </w:p>
    <w:p>
      <w:pPr>
        <w:spacing w:after="120"/>
        <w:jc w:val="center"/>
      </w:pPr>
      <w:r>
        <w:rPr>
          <w:rFonts w:ascii="Times New Roman" w:hAnsi="Times New Roman"/>
          <w:b/>
          <w:sz w:val="24"/>
        </w:rPr>
        <w:t>Dhananjay Verma</w:t>
      </w:r>
    </w:p>
    <w:p>
      <w:pPr>
        <w:spacing w:after="360"/>
        <w:jc w:val="center"/>
      </w:pPr>
      <w:r>
        <w:rPr>
          <w:rFonts w:ascii="Times New Roman" w:hAnsi="Times New Roman"/>
          <w:sz w:val="22"/>
        </w:rPr>
        <w:t>Student ID: 0291493</w:t>
        <w:br/>
        <w:t>Division of Mathematics and Computer Science</w:t>
        <w:br/>
        <w:t>Walsh College, Troy, MI</w:t>
      </w:r>
    </w:p>
    <w:p>
      <w:pPr>
        <w:spacing w:after="480"/>
        <w:jc w:val="center"/>
      </w:pPr>
      <w:r>
        <w:rPr>
          <w:rFonts w:ascii="Times New Roman" w:hAnsi="Times New Roman"/>
          <w:sz w:val="22"/>
        </w:rPr>
        <w:t>QM640 V1: Data Analytics Capstone</w:t>
        <w:br/>
        <w:t>Faculty Mentor: Dr. Javad Katibai</w:t>
        <w:br/>
        <w:t>Summer 2026 Term</w:t>
        <w:br/>
        <w:t>October 15, 2026</w:t>
      </w:r>
    </w:p>
    <w:p>
      <w:r>
        <w:br w:type="page"/>
      </w:r>
    </w:p>
    <w:p>
      <w:pPr>
        <w:keepNext/>
        <w:spacing w:before="320" w:after="160"/>
        <w:jc w:val="center"/>
      </w:pPr>
      <w:r>
        <w:rPr>
          <w:rFonts w:ascii="Times New Roman" w:hAnsi="Times New Roman"/>
          <w:b/>
          <w:color w:val="0F2240"/>
          <w:sz w:val="28"/>
        </w:rPr>
        <w:t>Executive Summary &amp; Project Repository</w:t>
      </w:r>
    </w:p>
    <w:p>
      <w:pPr>
        <w:spacing w:after="120" w:line="276" w:lineRule="auto"/>
        <w:jc w:val="left"/>
      </w:pPr>
      <w:r>
        <w:rPr>
          <w:rFonts w:ascii="Times New Roman" w:hAnsi="Times New Roman"/>
          <w:i w:val="0"/>
          <w:sz w:val="22"/>
        </w:rPr>
        <w:t>This Interim Capstone Report is submitted as a standalone academic document in partial fulfillment of the requirements for the Master of Science in Data Analytics and Artificial Intelligence at Walsh College. In accordance with the academic curriculum guidelines of QM640 V1, this report provides an autonomous, self-contained evaluation of the research design, empirical data cleaning, exploratory data analysis (EDA), statistical hypothesis testing, and preliminary machine learning modeling conducted on electric power generating facilities regulated under the United States Environmental Protection Agency (EPA) Clean Air Markets Program (CAMP).</w:t>
      </w:r>
    </w:p>
    <w:p>
      <w:pPr>
        <w:keepNext/>
        <w:spacing w:before="240" w:after="120"/>
        <w:jc w:val="left"/>
      </w:pPr>
      <w:r>
        <w:rPr>
          <w:rFonts w:ascii="Times New Roman" w:hAnsi="Times New Roman"/>
          <w:b/>
          <w:color w:val="19375F"/>
          <w:sz w:val="24"/>
        </w:rPr>
        <w:t>GitHub Data Availability Statement</w:t>
      </w:r>
    </w:p>
    <w:p>
      <w:pPr>
        <w:spacing w:after="120" w:line="276" w:lineRule="auto"/>
        <w:jc w:val="left"/>
      </w:pPr>
      <w:r>
        <w:rPr>
          <w:rFonts w:ascii="Times New Roman" w:hAnsi="Times New Roman"/>
          <w:i w:val="0"/>
          <w:sz w:val="22"/>
        </w:rPr>
        <w:t>To support scientific reproducibility, public auditability, and academic evaluation, all raw data artifacts, engineered datasets, executable Jupyter Notebook (.ipynb), Python modeling scripts, statistical pipelines, and visualization routines have been systematically curated and deposited in the official project repository:</w:t>
      </w:r>
    </w:p>
    <w:p>
      <w:pPr>
        <w:spacing w:after="80" w:line="276" w:lineRule="auto"/>
        <w:jc w:val="left"/>
      </w:pPr>
      <w:r>
        <w:rPr>
          <w:rFonts w:ascii="Times New Roman" w:hAnsi="Times New Roman"/>
          <w:b/>
          <w:sz w:val="22"/>
        </w:rPr>
        <w:t xml:space="preserve">Project Repository: </w:t>
      </w:r>
      <w:r>
        <w:rPr>
          <w:rFonts w:ascii="Times New Roman" w:hAnsi="Times New Roman"/>
          <w:i w:val="0"/>
          <w:sz w:val="22"/>
        </w:rPr>
        <w:t>https://github.com/djmsritai-tech/QM640-Data-Analytics-Capstone</w:t>
      </w:r>
    </w:p>
    <w:p>
      <w:pPr>
        <w:spacing w:after="80" w:line="276" w:lineRule="auto"/>
        <w:jc w:val="left"/>
      </w:pPr>
      <w:r>
        <w:rPr>
          <w:rFonts w:ascii="Times New Roman" w:hAnsi="Times New Roman"/>
          <w:b/>
          <w:sz w:val="22"/>
        </w:rPr>
        <w:t xml:space="preserve">Raw data: </w:t>
      </w:r>
      <w:r>
        <w:rPr>
          <w:rFonts w:ascii="Times New Roman" w:hAnsi="Times New Roman"/>
          <w:i w:val="0"/>
          <w:sz w:val="22"/>
        </w:rPr>
        <w:t>https://github.com/djmsritai-tech/QM640-Data-Analytics-Capstone/blob/main/data/raw/facility-2025.csv</w:t>
      </w:r>
    </w:p>
    <w:p>
      <w:pPr>
        <w:spacing w:after="80" w:line="276" w:lineRule="auto"/>
        <w:jc w:val="left"/>
      </w:pPr>
      <w:r>
        <w:rPr>
          <w:rFonts w:ascii="Times New Roman" w:hAnsi="Times New Roman"/>
          <w:b/>
          <w:sz w:val="22"/>
        </w:rPr>
        <w:t xml:space="preserve">Processed/clean data: </w:t>
      </w:r>
      <w:r>
        <w:rPr>
          <w:rFonts w:ascii="Times New Roman" w:hAnsi="Times New Roman"/>
          <w:i w:val="0"/>
          <w:sz w:val="22"/>
        </w:rPr>
        <w:t>https://github.com/djmsritai-tech/QM640-Data-Analytics-Capstone/blob/main/data/processed/facility_clean_processed.csv</w:t>
      </w:r>
    </w:p>
    <w:p>
      <w:pPr>
        <w:spacing w:after="80" w:line="276" w:lineRule="auto"/>
        <w:jc w:val="left"/>
      </w:pPr>
      <w:r>
        <w:rPr>
          <w:rFonts w:ascii="Times New Roman" w:hAnsi="Times New Roman"/>
          <w:b/>
          <w:sz w:val="22"/>
        </w:rPr>
        <w:t xml:space="preserve">Code/notebooks: </w:t>
      </w:r>
      <w:r>
        <w:rPr>
          <w:rFonts w:ascii="Times New Roman" w:hAnsi="Times New Roman"/>
          <w:i w:val="0"/>
          <w:sz w:val="22"/>
        </w:rPr>
        <w:t>https://github.com/djmsritai-tech/QM640-Data-Analytics-Capstone/tree/main/scripts (and https://github.com/djmsritai-tech/QM640-Data-Analytics-Capstone/blob/main/QM640_Capstone_Analytics_Notebook_DhananjayVerma_0291493.ipynb)</w:t>
      </w:r>
    </w:p>
    <w:p>
      <w:pPr>
        <w:spacing w:after="240" w:line="276" w:lineRule="auto"/>
        <w:jc w:val="left"/>
      </w:pPr>
      <w:r>
        <w:rPr>
          <w:rFonts w:ascii="Times New Roman" w:hAnsi="Times New Roman"/>
          <w:b/>
          <w:sz w:val="22"/>
        </w:rPr>
        <w:t xml:space="preserve">Figure Directory: </w:t>
      </w:r>
      <w:r>
        <w:rPr>
          <w:rFonts w:ascii="Times New Roman" w:hAnsi="Times New Roman"/>
          <w:i w:val="0"/>
          <w:sz w:val="22"/>
        </w:rPr>
        <w:t>outputs/figures/ (11 APA 7 publication-grade figures at 300 DPI)</w:t>
      </w:r>
    </w:p>
    <w:p>
      <w:pPr>
        <w:spacing w:before="120" w:after="160" w:line="276" w:lineRule="auto"/>
        <w:ind w:left="576" w:right="576"/>
      </w:pPr>
      <w:r>
        <w:rPr>
          <w:rFonts w:ascii="Times New Roman" w:hAnsi="Times New Roman"/>
          <w:b/>
          <w:color w:val="1E4678"/>
          <w:sz w:val="20"/>
        </w:rPr>
        <w:t xml:space="preserve">Academic Standing Declaration: </w:t>
      </w:r>
      <w:r>
        <w:rPr>
          <w:rFonts w:ascii="Times New Roman" w:hAnsi="Times New Roman"/>
          <w:i/>
          <w:sz w:val="20"/>
        </w:rPr>
        <w:t>Standalone Academic Notice: While this Interim Report logically succeeds the initial Capstone Synopsis submitted in the Winter term, no prior dependency or external knowledge of the synopsis is required. A reader, evaluator, or regulatory auditor can comprehensively evaluate the theoretical foundation, analytical methodology, empirical results, and strategic implications from this standalone document alone.</w:t>
      </w:r>
    </w:p>
    <w:p>
      <w:pPr>
        <w:keepNext/>
        <w:spacing w:before="320" w:after="160"/>
        <w:jc w:val="center"/>
      </w:pPr>
      <w:r>
        <w:rPr>
          <w:rFonts w:ascii="Times New Roman" w:hAnsi="Times New Roman"/>
          <w:b/>
          <w:color w:val="0F2240"/>
          <w:sz w:val="28"/>
        </w:rPr>
        <w:t>1. Introduction</w:t>
      </w:r>
    </w:p>
    <w:p>
      <w:pPr>
        <w:keepNext/>
        <w:spacing w:before="240" w:after="120"/>
        <w:jc w:val="left"/>
      </w:pPr>
      <w:r>
        <w:rPr>
          <w:rFonts w:ascii="Times New Roman" w:hAnsi="Times New Roman"/>
          <w:b/>
          <w:color w:val="19375F"/>
          <w:sz w:val="24"/>
        </w:rPr>
        <w:t>Background and Context</w:t>
      </w:r>
    </w:p>
    <w:p>
      <w:pPr>
        <w:spacing w:after="120" w:line="276" w:lineRule="auto"/>
        <w:jc w:val="left"/>
      </w:pPr>
      <w:r>
        <w:rPr>
          <w:rFonts w:ascii="Times New Roman" w:hAnsi="Times New Roman"/>
          <w:i w:val="0"/>
          <w:sz w:val="22"/>
        </w:rPr>
        <w:t>Atmospheric pollution originating from stationary combustion sources constitutes one of the most critical public health and environmental challenges of the modern industrial era. Electric power generation facilities—primarily those combusting fossil fuels including bituminous coal, sub-bituminous coal, pipeline natural gas, and residual fuel oils—are major point sources of criteria air pollutants. These combustion processes emit substantial quantities of sulfur dioxide (SO₂), nitrogen oxides (NOₓ), hazardous air pollutants such as mercury (Hg), and primary particulate matter (PM₂.₅ and PM₁₀). Epidemiological and economic studies have repeatedly demonstrated that ambient exposure to fine particulates and ground-level ozone causes severe cardiorespiratory illnesses, premature mortality, and regional ecological acidification (Harrington et al., 2004; Burtraw et al., 2012).</w:t>
      </w:r>
    </w:p>
    <w:p>
      <w:pPr>
        <w:spacing w:after="120" w:line="276" w:lineRule="auto"/>
        <w:jc w:val="left"/>
      </w:pPr>
      <w:r>
        <w:rPr>
          <w:rFonts w:ascii="Times New Roman" w:hAnsi="Times New Roman"/>
          <w:i w:val="0"/>
          <w:sz w:val="22"/>
        </w:rPr>
        <w:t>To curtail stationary source emissions, the United States Environmental Protection Agency (EPA) established market-based regulatory frameworks under the Clean Air Act Amendments of 1990. These initiatives encompass the Acid Rain Program (ARP), the Clean Air Interstate Rule (CAIR), the Cross-State Air Pollution Rule (CSAPR, including CSNOX and CSSO2G2), and the Mercury and Air Toxics Standards (MATS). Central to these market-oriented programs is the Clean Air Markets Program (CAMP), which couples statutory emission allowance trading with rigorous, continuous emission monitoring systems (CEMS) mandated under 40 CFR Part 75 (U.S. EPA, 2024). Under this regime, the EPA collects and publishes unit-level data capturing thermal capacities, primary and secondary fuel choices, boiler architectural configurations, and pollution abatement controls.</w:t>
      </w:r>
    </w:p>
    <w:p>
      <w:pPr>
        <w:spacing w:after="120" w:line="276" w:lineRule="auto"/>
        <w:jc w:val="left"/>
      </w:pPr>
      <w:r>
        <w:rPr>
          <w:rFonts w:ascii="Times New Roman" w:hAnsi="Times New Roman"/>
          <w:i w:val="0"/>
          <w:sz w:val="22"/>
        </w:rPr>
        <w:t>The operational setting of this research is the contemporary U.S. bulk power system during the calendar year 2025. The electric power sector is currently undergoing a structural transformation characterized by the rapid retirement of legacy coal-fired generating units, increased utilization of high-efficiency natural gas combined cycle (NGCC) plants, the deployment of fast-ramping combustion turbines for renewable intermittency balancing, and the impending enforcement of stricter environmental regulations (Ellis et al., 2019; Schmalensee &amp; Stavins, 2017). Within this setting, primary stakeholders include federal environmental regulators (EPA program administrators), regional transmission organizations (RTOs and ISOs), state environmental protection agencies, electric utility asset managers, and ESG investment analysts who require quantitative, data-driven models to benchmark emission compliance risk and project fleet transition trajectories.</w:t>
      </w:r>
    </w:p>
    <w:p>
      <w:pPr>
        <w:keepNext/>
        <w:spacing w:before="240" w:after="120"/>
        <w:jc w:val="left"/>
      </w:pPr>
      <w:r>
        <w:rPr>
          <w:rFonts w:ascii="Times New Roman" w:hAnsi="Times New Roman"/>
          <w:b/>
          <w:color w:val="19375F"/>
          <w:sz w:val="24"/>
        </w:rPr>
        <w:t>Problem Statement</w:t>
      </w:r>
    </w:p>
    <w:p>
      <w:pPr>
        <w:spacing w:after="120" w:line="276" w:lineRule="auto"/>
        <w:jc w:val="left"/>
      </w:pPr>
      <w:r>
        <w:rPr>
          <w:rFonts w:ascii="Times New Roman" w:hAnsi="Times New Roman"/>
          <w:i w:val="0"/>
          <w:sz w:val="22"/>
        </w:rPr>
        <w:t>Despite decades of standardized environmental regulations and mandatory reporting under the Clean Air Markets Program, operational thermal capacity and potential emission rates exhibit pronounced heterogeneity across the national generating fleet. Existing compliance frameworks frequently treat generating units as homogeneous technological entities within broad fuel categories, overlooking complex multidimensional interactions among boiler vintage, unit age, installed generation capacity, pollution control architectures, and regional regulatory enforcement. The absence of scalable, data-driven predictive and segmentation models limits the ability of environmental regulators to anticipate high-emission non-compliance risks proactively and impedes power plant operators from establishing empirical benchmarks for unit retrofitting or retirement. This research addresses this gap by synthesizing statistical inferential modeling with supervised and unsupervised machine learning to explain, predict, and segment facility-level operational intensity and compliance risk.</w:t>
      </w:r>
    </w:p>
    <w:p>
      <w:pPr>
        <w:keepNext/>
        <w:spacing w:before="240" w:after="120"/>
        <w:jc w:val="left"/>
      </w:pPr>
      <w:r>
        <w:rPr>
          <w:rFonts w:ascii="Times New Roman" w:hAnsi="Times New Roman"/>
          <w:b/>
          <w:color w:val="19375F"/>
          <w:sz w:val="24"/>
        </w:rPr>
        <w:t>Purpose of the Study</w:t>
      </w:r>
    </w:p>
    <w:p>
      <w:pPr>
        <w:spacing w:after="120" w:line="276" w:lineRule="auto"/>
        <w:jc w:val="left"/>
      </w:pPr>
      <w:r>
        <w:rPr>
          <w:rFonts w:ascii="Times New Roman" w:hAnsi="Times New Roman"/>
          <w:i w:val="0"/>
          <w:sz w:val="22"/>
        </w:rPr>
        <w:t>The primary purpose of this quantitative empirical study is fourfold: (a) to evaluate whether facility attributes—specifically primary fuel classification and boiler design—exert statistically significant effects on maximum hourly heat input rate and emission capacity; (b) to construct and validate supervised classification algorithms capable of predicting high-emission generating units based on operational features; (c) to assess the linear and non-linear bivariate and multivariate relationships between generating unit vintage (age) and thermal operational intensity; and (d) to formulate an unsupervised clustering framework that segments the U.S. power generation fleet into distinct, interpretable operational and emission-risk archetypes.</w:t>
      </w:r>
    </w:p>
    <w:p>
      <w:pPr>
        <w:keepNext/>
        <w:spacing w:before="240" w:after="120"/>
        <w:jc w:val="left"/>
      </w:pPr>
      <w:r>
        <w:rPr>
          <w:rFonts w:ascii="Times New Roman" w:hAnsi="Times New Roman"/>
          <w:b/>
          <w:color w:val="19375F"/>
          <w:sz w:val="24"/>
        </w:rPr>
        <w:t>Interim Project Status (Progress Snapshot)</w:t>
      </w:r>
    </w:p>
    <w:p>
      <w:pPr>
        <w:spacing w:after="120" w:line="276" w:lineRule="auto"/>
        <w:jc w:val="left"/>
      </w:pPr>
      <w:r>
        <w:rPr>
          <w:rFonts w:ascii="Times New Roman" w:hAnsi="Times New Roman"/>
          <w:i w:val="0"/>
          <w:sz w:val="22"/>
        </w:rPr>
        <w:t>A structured summary of completed, in-progress, and pending milestones is outlined below:</w:t>
      </w:r>
    </w:p>
    <w:p>
      <w:pPr>
        <w:spacing w:after="80" w:line="276" w:lineRule="auto"/>
        <w:jc w:val="left"/>
      </w:pPr>
      <w:r>
        <w:rPr>
          <w:rFonts w:ascii="Times New Roman" w:hAnsi="Times New Roman"/>
          <w:b/>
          <w:sz w:val="22"/>
        </w:rPr>
        <w:t xml:space="preserve">Completed: </w:t>
      </w:r>
      <w:r>
        <w:rPr>
          <w:rFonts w:ascii="Times New Roman" w:hAnsi="Times New Roman"/>
          <w:i w:val="0"/>
          <w:sz w:val="22"/>
        </w:rPr>
        <w:t>Data acquisition from EPA CAMPD bulk repository (N = 4,050 records, 30 variables); data cleaning pipeline; imputation strategy; duplicate validation; feature engineering of Unit Age, Capacity (MWe), Heat Input Rate, and Pollution Control counts; exploratory data analysis; statistical testing for RQ1 (ANOVA, Kruskal-Wallis, Tukey HSD); exploratory scatter and correlation matrices.</w:t>
      </w:r>
    </w:p>
    <w:p>
      <w:pPr>
        <w:spacing w:after="80" w:line="276" w:lineRule="auto"/>
        <w:jc w:val="left"/>
      </w:pPr>
      <w:r>
        <w:rPr>
          <w:rFonts w:ascii="Times New Roman" w:hAnsi="Times New Roman"/>
          <w:b/>
          <w:sz w:val="22"/>
        </w:rPr>
        <w:t xml:space="preserve">In Progress: </w:t>
      </w:r>
      <w:r>
        <w:rPr>
          <w:rFonts w:ascii="Times New Roman" w:hAnsi="Times New Roman"/>
          <w:i w:val="0"/>
          <w:sz w:val="22"/>
        </w:rPr>
        <w:t>Supervised machine learning model training and hyperparameter optimization (Logistic Regression, Random Forest, Gradient Boosting) for RQ2; OLS simple and multivariate regression modeling for RQ3; K-Means unsupervised clustering, Elbow WCSS optimization, Silhouette coefficient evaluation, and 2D Principal Component Analysis (PCA) for RQ4.</w:t>
      </w:r>
    </w:p>
    <w:p>
      <w:pPr>
        <w:spacing w:after="240" w:line="276" w:lineRule="auto"/>
        <w:jc w:val="left"/>
      </w:pPr>
      <w:r>
        <w:rPr>
          <w:rFonts w:ascii="Times New Roman" w:hAnsi="Times New Roman"/>
          <w:b/>
          <w:sz w:val="22"/>
        </w:rPr>
        <w:t xml:space="preserve">Pending: </w:t>
      </w:r>
      <w:r>
        <w:rPr>
          <w:rFonts w:ascii="Times New Roman" w:hAnsi="Times New Roman"/>
          <w:i w:val="0"/>
          <w:sz w:val="22"/>
        </w:rPr>
        <w:t>Longitudinal panel data expansion incorporating 2020-2024 historical CEMS hourly emissions; integration of state-level ambient air quality monitoring stations; deployment of SHAP (Shapley Additive exPlanations) values for global/local machine learning interpretability; formulation of prescriptive policy and retrofitting guidelines for the final capstone deliverable.</w:t>
      </w:r>
    </w:p>
    <w:p>
      <w:pPr>
        <w:keepNext/>
        <w:spacing w:before="240" w:after="120"/>
        <w:jc w:val="left"/>
      </w:pPr>
      <w:r>
        <w:rPr>
          <w:rFonts w:ascii="Times New Roman" w:hAnsi="Times New Roman"/>
          <w:b/>
          <w:color w:val="19375F"/>
          <w:sz w:val="24"/>
        </w:rPr>
        <w:t>Scope and Objectives</w:t>
      </w:r>
    </w:p>
    <w:p>
      <w:pPr>
        <w:spacing w:after="120" w:line="276" w:lineRule="auto"/>
        <w:jc w:val="left"/>
      </w:pPr>
      <w:r>
        <w:rPr>
          <w:rFonts w:ascii="Times New Roman" w:hAnsi="Times New Roman"/>
          <w:i w:val="0"/>
          <w:sz w:val="22"/>
        </w:rPr>
        <w:t>The spatial scope of this investigation encompasses all stationary electric utility and industrial power generating units located in the 50 U.S. states, the District of Columbia, and associated territories reporting under the EPA Clean Air Markets Program for the 2025 reporting period. The temporal scope focuses on cross-sectional operational attributes registered as of 2025. The study explicitly focuses on operational combustion parameters, installed capacity, pollution abatement equipment, and regulatory classifications. Detailed dispersion plume modeling, downstream meteorological transport simulations, human health epidemiological impact modeling, and corporate balance sheet financial accounting fall outside the immediate scope of this empirical investigation.</w:t>
      </w:r>
    </w:p>
    <w:p>
      <w:pPr>
        <w:keepNext/>
        <w:spacing w:before="240" w:after="120"/>
        <w:jc w:val="left"/>
      </w:pPr>
      <w:r>
        <w:rPr>
          <w:rFonts w:ascii="Times New Roman" w:hAnsi="Times New Roman"/>
          <w:b/>
          <w:color w:val="19375F"/>
          <w:sz w:val="24"/>
        </w:rPr>
        <w:t>Research Questions and Hypotheses</w:t>
      </w:r>
    </w:p>
    <w:p>
      <w:pPr>
        <w:spacing w:after="120" w:line="276" w:lineRule="auto"/>
        <w:jc w:val="left"/>
      </w:pPr>
      <w:r>
        <w:rPr>
          <w:rFonts w:ascii="Times New Roman" w:hAnsi="Times New Roman"/>
          <w:i w:val="0"/>
          <w:sz w:val="22"/>
        </w:rPr>
        <w:t>To provide rigorous quantitative resolution to the problem statement, four formal research questions (RQs) and associated statistical hypotheses are investigated:</w:t>
      </w:r>
    </w:p>
    <w:p>
      <w:pPr>
        <w:keepNext/>
        <w:spacing w:before="160" w:after="80"/>
        <w:jc w:val="left"/>
      </w:pPr>
      <w:r>
        <w:rPr>
          <w:rFonts w:ascii="Times New Roman" w:hAnsi="Times New Roman"/>
          <w:b/>
          <w:i/>
          <w:color w:val="282828"/>
          <w:sz w:val="22"/>
        </w:rPr>
        <w:t>Research Question 1 (RQ1): Emission &amp; Thermal Load Variability across Fuels</w:t>
      </w:r>
    </w:p>
    <w:p>
      <w:pPr>
        <w:spacing w:after="120" w:line="276" w:lineRule="auto"/>
        <w:jc w:val="left"/>
      </w:pPr>
      <w:r>
        <w:rPr>
          <w:rFonts w:ascii="Times New Roman" w:hAnsi="Times New Roman"/>
          <w:i w:val="0"/>
          <w:sz w:val="22"/>
        </w:rPr>
        <w:t>Do facility attributes, specifically primary fuel category and unit technology type, significantly influence maximum hourly heat input rates and operational combustion capacity across the U.S. power fleet?</w:t>
      </w:r>
    </w:p>
    <w:p>
      <w:pPr>
        <w:spacing w:after="60" w:line="276" w:lineRule="auto"/>
        <w:jc w:val="left"/>
      </w:pPr>
      <w:r>
        <w:rPr>
          <w:rFonts w:ascii="Times New Roman" w:hAnsi="Times New Roman"/>
          <w:b/>
          <w:sz w:val="22"/>
        </w:rPr>
        <w:t xml:space="preserve">H0: </w:t>
      </w:r>
      <w:r>
        <w:rPr>
          <w:rFonts w:ascii="Times New Roman" w:hAnsi="Times New Roman"/>
          <w:i w:val="0"/>
          <w:sz w:val="22"/>
        </w:rPr>
        <w:t>Null Hypothesis (H0): There is no statistically significant difference in mean or median maximum hourly heat input rates across primary fuel categories (μ_Coal = μ_Gas = μ_Oil = μ_Biomass).</w:t>
      </w:r>
    </w:p>
    <w:p>
      <w:pPr>
        <w:spacing w:after="60" w:line="276" w:lineRule="auto"/>
        <w:jc w:val="left"/>
      </w:pPr>
      <w:r>
        <w:rPr>
          <w:rFonts w:ascii="Times New Roman" w:hAnsi="Times New Roman"/>
          <w:b/>
          <w:sz w:val="22"/>
        </w:rPr>
        <w:t xml:space="preserve">H1: </w:t>
      </w:r>
      <w:r>
        <w:rPr>
          <w:rFonts w:ascii="Times New Roman" w:hAnsi="Times New Roman"/>
          <w:i w:val="0"/>
          <w:sz w:val="22"/>
        </w:rPr>
        <w:t>Alternative Hypothesis (H1): Maximum hourly heat input rates differ significantly across primary fuel categories, with fossil solid fuels exhibiting systematically higher combustion capacities.</w:t>
      </w:r>
    </w:p>
    <w:p>
      <w:pPr>
        <w:spacing w:after="160" w:line="276" w:lineRule="auto"/>
        <w:jc w:val="left"/>
      </w:pPr>
      <w:r>
        <w:rPr>
          <w:rFonts w:ascii="Times New Roman" w:hAnsi="Times New Roman"/>
          <w:b/>
          <w:sz w:val="22"/>
        </w:rPr>
        <w:t xml:space="preserve">Analytical Formulation: </w:t>
      </w:r>
      <w:r>
        <w:rPr>
          <w:rFonts w:ascii="Times New Roman" w:hAnsi="Times New Roman"/>
          <w:i w:val="0"/>
          <w:sz w:val="22"/>
        </w:rPr>
        <w:t>Statistical Model: Heat_Input_Rate_ij = μ + α_i (Fuel_Category) + ε_ij, evaluated via One-Way Analysis of Variance (ANOVA) and non-parametric Kruskal-Wallis H-testing.</w:t>
      </w:r>
    </w:p>
    <w:p>
      <w:pPr>
        <w:keepNext/>
        <w:spacing w:before="160" w:after="80"/>
        <w:jc w:val="left"/>
      </w:pPr>
      <w:r>
        <w:rPr>
          <w:rFonts w:ascii="Times New Roman" w:hAnsi="Times New Roman"/>
          <w:b/>
          <w:i/>
          <w:color w:val="282828"/>
          <w:sz w:val="22"/>
        </w:rPr>
        <w:t>Research Question 2 (RQ2): Predictive Classification of High-Emission Units</w:t>
      </w:r>
    </w:p>
    <w:p>
      <w:pPr>
        <w:spacing w:after="120" w:line="276" w:lineRule="auto"/>
        <w:jc w:val="left"/>
      </w:pPr>
      <w:r>
        <w:rPr>
          <w:rFonts w:ascii="Times New Roman" w:hAnsi="Times New Roman"/>
          <w:i w:val="0"/>
          <w:sz w:val="22"/>
        </w:rPr>
        <w:t>Can facility and unit operational attributes (installed capacity, boiler vintage, pollution control count, and regional location) accurately classify and predict high-emission generating units (defined as units operating in the upper quartile, ≥ 75th percentile of national maximum hourly heat input capacity)?</w:t>
      </w:r>
    </w:p>
    <w:p>
      <w:pPr>
        <w:spacing w:after="60" w:line="276" w:lineRule="auto"/>
        <w:jc w:val="left"/>
      </w:pPr>
      <w:r>
        <w:rPr>
          <w:rFonts w:ascii="Times New Roman" w:hAnsi="Times New Roman"/>
          <w:b/>
          <w:sz w:val="22"/>
        </w:rPr>
        <w:t xml:space="preserve">H0: </w:t>
      </w:r>
      <w:r>
        <w:rPr>
          <w:rFonts w:ascii="Times New Roman" w:hAnsi="Times New Roman"/>
          <w:i w:val="0"/>
          <w:sz w:val="22"/>
        </w:rPr>
        <w:t>Null Hypothesis (H0): Operational and technological attributes possess no predictive power (AUC ≤ 0.50, F1-score equal to random guessing) in classifying high-emission generating units.</w:t>
      </w:r>
    </w:p>
    <w:p>
      <w:pPr>
        <w:spacing w:after="60" w:line="276" w:lineRule="auto"/>
        <w:jc w:val="left"/>
      </w:pPr>
      <w:r>
        <w:rPr>
          <w:rFonts w:ascii="Times New Roman" w:hAnsi="Times New Roman"/>
          <w:b/>
          <w:sz w:val="22"/>
        </w:rPr>
        <w:t xml:space="preserve">H1: </w:t>
      </w:r>
      <w:r>
        <w:rPr>
          <w:rFonts w:ascii="Times New Roman" w:hAnsi="Times New Roman"/>
          <w:i w:val="0"/>
          <w:sz w:val="22"/>
        </w:rPr>
        <w:t>Alternative Hypothesis (H1): Machine learning classifiers trained on unit attributes can predict high-emission facilities with superior discriminative performance (ROC-AUC ≥ 0.90, F1-score ≥ 0.80).</w:t>
      </w:r>
    </w:p>
    <w:p>
      <w:pPr>
        <w:spacing w:after="160" w:line="276" w:lineRule="auto"/>
        <w:jc w:val="left"/>
      </w:pPr>
      <w:r>
        <w:rPr>
          <w:rFonts w:ascii="Times New Roman" w:hAnsi="Times New Roman"/>
          <w:b/>
          <w:sz w:val="22"/>
        </w:rPr>
        <w:t xml:space="preserve">Analytical Formulation: </w:t>
      </w:r>
      <w:r>
        <w:rPr>
          <w:rFonts w:ascii="Times New Roman" w:hAnsi="Times New Roman"/>
          <w:i w:val="0"/>
          <w:sz w:val="22"/>
        </w:rPr>
        <w:t>Model Specifications: Regularized Logistic Regression, Random Forest Ensembles (MDI Gini splitting), and Gradient Boosting Classifiers evaluated via 5-fold stratified cross-validation.</w:t>
      </w:r>
    </w:p>
    <w:p>
      <w:pPr>
        <w:keepNext/>
        <w:spacing w:before="160" w:after="80"/>
        <w:jc w:val="left"/>
      </w:pPr>
      <w:r>
        <w:rPr>
          <w:rFonts w:ascii="Times New Roman" w:hAnsi="Times New Roman"/>
          <w:b/>
          <w:i/>
          <w:color w:val="282828"/>
          <w:sz w:val="22"/>
        </w:rPr>
        <w:t>Research Question 3 (RQ3): Unit Age and Operational Intensity Dynamics</w:t>
      </w:r>
    </w:p>
    <w:p>
      <w:pPr>
        <w:spacing w:after="120" w:line="276" w:lineRule="auto"/>
        <w:jc w:val="left"/>
      </w:pPr>
      <w:r>
        <w:rPr>
          <w:rFonts w:ascii="Times New Roman" w:hAnsi="Times New Roman"/>
          <w:i w:val="0"/>
          <w:sz w:val="22"/>
        </w:rPr>
        <w:t>What is the empirical nature, magnitude, and statistical significance of the relationship between generating unit age (vintage) and maximum thermal heat input capacity?</w:t>
      </w:r>
    </w:p>
    <w:p>
      <w:pPr>
        <w:spacing w:after="60" w:line="276" w:lineRule="auto"/>
        <w:jc w:val="left"/>
      </w:pPr>
      <w:r>
        <w:rPr>
          <w:rFonts w:ascii="Times New Roman" w:hAnsi="Times New Roman"/>
          <w:b/>
          <w:sz w:val="22"/>
        </w:rPr>
        <w:t xml:space="preserve">H0: </w:t>
      </w:r>
      <w:r>
        <w:rPr>
          <w:rFonts w:ascii="Times New Roman" w:hAnsi="Times New Roman"/>
          <w:i w:val="0"/>
          <w:sz w:val="22"/>
        </w:rPr>
        <w:t>Null Hypothesis (H0): There is no statistically significant linear or monotonic relationship between generating unit age and maximum hourly heat input rate (β_Age = 0; Pearson r = 0; Spearman ρ = 0).</w:t>
      </w:r>
    </w:p>
    <w:p>
      <w:pPr>
        <w:spacing w:after="60" w:line="276" w:lineRule="auto"/>
        <w:jc w:val="left"/>
      </w:pPr>
      <w:r>
        <w:rPr>
          <w:rFonts w:ascii="Times New Roman" w:hAnsi="Times New Roman"/>
          <w:b/>
          <w:sz w:val="22"/>
        </w:rPr>
        <w:t xml:space="preserve">H1: </w:t>
      </w:r>
      <w:r>
        <w:rPr>
          <w:rFonts w:ascii="Times New Roman" w:hAnsi="Times New Roman"/>
          <w:i w:val="0"/>
          <w:sz w:val="22"/>
        </w:rPr>
        <w:t>Alternative Hypothesis (H1): A statistically significant positive relationship exists between unit age and thermal heat input rate (β_Age &gt; 0), reflecting the larger combustion volume of legacy baseload steam facilities.</w:t>
      </w:r>
    </w:p>
    <w:p>
      <w:pPr>
        <w:spacing w:after="160" w:line="276" w:lineRule="auto"/>
        <w:jc w:val="left"/>
      </w:pPr>
      <w:r>
        <w:rPr>
          <w:rFonts w:ascii="Times New Roman" w:hAnsi="Times New Roman"/>
          <w:b/>
          <w:sz w:val="22"/>
        </w:rPr>
        <w:t xml:space="preserve">Model Equations: </w:t>
      </w:r>
      <w:r>
        <w:rPr>
          <w:rFonts w:ascii="Times New Roman" w:hAnsi="Times New Roman"/>
          <w:i w:val="0"/>
          <w:sz w:val="22"/>
        </w:rPr>
        <w:t>Analytical Formulation: Bivariate Ordinary Least Squares (OLS): Heat_Input = β0 + β1(Age) + ε; Multivariate OLS: Heat_Input = β0 + β1(Age) + β2(Capacity_MW) + β3(Control_Count) + ε.</w:t>
      </w:r>
    </w:p>
    <w:p>
      <w:pPr>
        <w:keepNext/>
        <w:spacing w:before="160" w:after="80"/>
        <w:jc w:val="left"/>
      </w:pPr>
      <w:r>
        <w:rPr>
          <w:rFonts w:ascii="Times New Roman" w:hAnsi="Times New Roman"/>
          <w:b/>
          <w:i/>
          <w:color w:val="282828"/>
          <w:sz w:val="22"/>
        </w:rPr>
        <w:t>Research Question 4 (RQ4): Unsupervised Operational Segmentation &amp; Archetypes</w:t>
      </w:r>
    </w:p>
    <w:p>
      <w:pPr>
        <w:spacing w:after="120" w:line="276" w:lineRule="auto"/>
        <w:jc w:val="left"/>
      </w:pPr>
      <w:r>
        <w:rPr>
          <w:rFonts w:ascii="Times New Roman" w:hAnsi="Times New Roman"/>
          <w:i w:val="0"/>
          <w:sz w:val="22"/>
        </w:rPr>
        <w:t>Can the heterogeneous national generating fleet be partitioned into distinct, objectively validated operational clusters based on continuous attributes of capacity, thermal input, unit age, and pollution control adoption?</w:t>
      </w:r>
    </w:p>
    <w:p>
      <w:pPr>
        <w:spacing w:after="60" w:line="276" w:lineRule="auto"/>
        <w:jc w:val="left"/>
      </w:pPr>
      <w:r>
        <w:rPr>
          <w:rFonts w:ascii="Times New Roman" w:hAnsi="Times New Roman"/>
          <w:b/>
          <w:sz w:val="22"/>
        </w:rPr>
        <w:t xml:space="preserve">H0: </w:t>
      </w:r>
      <w:r>
        <w:rPr>
          <w:rFonts w:ascii="Times New Roman" w:hAnsi="Times New Roman"/>
          <w:i w:val="0"/>
          <w:sz w:val="22"/>
        </w:rPr>
        <w:t>Null Hypothesis (H0): Power generation units form a continuous, undifferentiated operational distribution with no identifiable, cohesive clustering structure (Silhouette score ≤ 0.20).</w:t>
      </w:r>
    </w:p>
    <w:p>
      <w:pPr>
        <w:spacing w:after="60" w:line="276" w:lineRule="auto"/>
        <w:jc w:val="left"/>
      </w:pPr>
      <w:r>
        <w:rPr>
          <w:rFonts w:ascii="Times New Roman" w:hAnsi="Times New Roman"/>
          <w:b/>
          <w:sz w:val="22"/>
        </w:rPr>
        <w:t xml:space="preserve">H1: </w:t>
      </w:r>
      <w:r>
        <w:rPr>
          <w:rFonts w:ascii="Times New Roman" w:hAnsi="Times New Roman"/>
          <w:i w:val="0"/>
          <w:sz w:val="22"/>
        </w:rPr>
        <w:t>Alternative Hypothesis (H1): Generating facilities naturally cluster into distinct, interpretable operational archetypes exhibiting substantial between-cluster separation and within-cluster cohesion.</w:t>
      </w:r>
    </w:p>
    <w:p>
      <w:pPr>
        <w:spacing w:after="240" w:line="276" w:lineRule="auto"/>
        <w:jc w:val="left"/>
      </w:pPr>
      <w:r>
        <w:rPr>
          <w:rFonts w:ascii="Times New Roman" w:hAnsi="Times New Roman"/>
          <w:b/>
          <w:sz w:val="22"/>
        </w:rPr>
        <w:t xml:space="preserve">Clustering Framework: </w:t>
      </w:r>
      <w:r>
        <w:rPr>
          <w:rFonts w:ascii="Times New Roman" w:hAnsi="Times New Roman"/>
          <w:i w:val="0"/>
          <w:sz w:val="22"/>
        </w:rPr>
        <w:t>Analytical Formulation: K-Means clustering across standardized multidimensional space; cluster count selection via Within-Cluster Sum of Squares (Inertia Elbow) and Silhouette coefficient optimization; 2D projection via Principal Component Analysis (PCA).</w:t>
      </w:r>
    </w:p>
    <w:p>
      <w:pPr>
        <w:keepNext/>
        <w:spacing w:before="320" w:after="160"/>
        <w:jc w:val="center"/>
      </w:pPr>
      <w:r>
        <w:rPr>
          <w:rFonts w:ascii="Times New Roman" w:hAnsi="Times New Roman"/>
          <w:b/>
          <w:color w:val="0F2240"/>
          <w:sz w:val="28"/>
        </w:rPr>
        <w:t>2. Literature Survey</w:t>
      </w:r>
    </w:p>
    <w:p>
      <w:pPr>
        <w:keepNext/>
        <w:spacing w:before="240" w:after="120"/>
        <w:jc w:val="left"/>
      </w:pPr>
      <w:r>
        <w:rPr>
          <w:rFonts w:ascii="Times New Roman" w:hAnsi="Times New Roman"/>
          <w:b/>
          <w:color w:val="19375F"/>
          <w:sz w:val="24"/>
        </w:rPr>
        <w:t>Literature Review Approach</w:t>
      </w:r>
    </w:p>
    <w:p>
      <w:pPr>
        <w:spacing w:after="120" w:line="276" w:lineRule="auto"/>
        <w:jc w:val="left"/>
      </w:pPr>
      <w:r>
        <w:rPr>
          <w:rFonts w:ascii="Times New Roman" w:hAnsi="Times New Roman"/>
          <w:i w:val="0"/>
          <w:sz w:val="22"/>
        </w:rPr>
        <w:t>A systematic literature review was conducted to synthesize empirical methodologies, economic theories, and environmental engineering principles relevant to facility-level emissions, air pollution regulatory compliance, and machine learning applications in energy systems. Electronic databases queried included IEEE Xplore, ScienceDirect, Elsevier Energy Policy, SpringerLink, JSTOR, and Google Scholar. The query syntax utilized Boolean logic: ('Clean Air Markets Program' OR 'Acid Rain Program' OR 'CAMPD') AND ('facility attributes' OR 'boiler vintage' OR 'heat input') AND ('machine learning' OR 'clustering' OR 'classification' OR 'ANOVA').</w:t>
      </w:r>
    </w:p>
    <w:p>
      <w:pPr>
        <w:spacing w:after="120" w:line="276" w:lineRule="auto"/>
        <w:jc w:val="left"/>
      </w:pPr>
      <w:r>
        <w:rPr>
          <w:rFonts w:ascii="Times New Roman" w:hAnsi="Times New Roman"/>
          <w:i w:val="0"/>
          <w:sz w:val="22"/>
        </w:rPr>
        <w:t>Inclusion criteria required peer-reviewed journal articles, foundational statistical texts, or authoritative government reports published between 1952 and 2024 that addressed stationary combustion sources, environmental policy instruments, non-parametric hypothesis testing, regression diagnostics, or industrial clustering. Theoretical publications lacking empirical grounding or studies restricted entirely to mobile vehicular emissions were excluded. A total of 14 seminal sources were identified and synthesized.</w:t>
      </w:r>
    </w:p>
    <w:p>
      <w:pPr>
        <w:keepNext/>
        <w:spacing w:before="240" w:after="120"/>
        <w:jc w:val="left"/>
      </w:pPr>
      <w:r>
        <w:rPr>
          <w:rFonts w:ascii="Times New Roman" w:hAnsi="Times New Roman"/>
          <w:b/>
          <w:color w:val="19375F"/>
          <w:sz w:val="24"/>
        </w:rPr>
        <w:t>Summary of Key Literature</w:t>
      </w:r>
    </w:p>
    <w:p>
      <w:pPr>
        <w:spacing w:after="120" w:line="276" w:lineRule="auto"/>
        <w:jc w:val="left"/>
      </w:pPr>
      <w:r>
        <w:rPr>
          <w:rFonts w:ascii="Times New Roman" w:hAnsi="Times New Roman"/>
          <w:i w:val="0"/>
          <w:sz w:val="22"/>
        </w:rPr>
        <w:t>The 14 foundational sources are itemized in Table 1, summarizing author credentials, publication year, operational domain, underlying datasets, analytical methods, empirical findings, and direct linkage to the research questions investigated in this capstone.</w:t>
      </w:r>
    </w:p>
    <w:p>
      <w:pPr>
        <w:keepNext/>
        <w:spacing w:before="240" w:after="40"/>
      </w:pPr>
      <w:r>
        <w:rPr>
          <w:rFonts w:ascii="Times New Roman" w:hAnsi="Times New Roman"/>
          <w:b/>
          <w:sz w:val="22"/>
        </w:rPr>
        <w:t>Table 1</w:t>
      </w:r>
    </w:p>
    <w:p>
      <w:pPr>
        <w:keepNext/>
        <w:spacing w:before="0" w:after="120"/>
      </w:pPr>
      <w:r>
        <w:rPr>
          <w:rFonts w:ascii="Times New Roman" w:hAnsi="Times New Roman"/>
          <w:i/>
          <w:sz w:val="22"/>
        </w:rPr>
        <w:t>Literature Relevance Matrix</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560"/>
        <w:gridCol w:w="1560"/>
        <w:gridCol w:w="1560"/>
        <w:gridCol w:w="1560"/>
        <w:gridCol w:w="1560"/>
        <w:gridCol w:w="1560"/>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Author (Year)</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Domain/Context</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Dataset/Setting</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Method(s)</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Key Findings</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Linkage to RQs</w:t>
            </w:r>
          </w:p>
        </w:tc>
      </w:tr>
      <w:tr>
        <w:tc>
          <w:tcPr>
            <w:tcW w:type="dxa" w:w="1584"/>
          </w:tcPr>
          <w:p>
            <w:pPr>
              <w:spacing w:before="40" w:after="40" w:line="252" w:lineRule="auto"/>
              <w:jc w:val="left"/>
            </w:pPr>
            <w:r>
              <w:rPr>
                <w:rFonts w:ascii="Times New Roman" w:hAnsi="Times New Roman"/>
                <w:sz w:val="18"/>
              </w:rPr>
              <w:t>U.S. EPA (2024)</w:t>
            </w:r>
          </w:p>
        </w:tc>
        <w:tc>
          <w:tcPr>
            <w:tcW w:type="dxa" w:w="1440"/>
          </w:tcPr>
          <w:p>
            <w:pPr>
              <w:spacing w:before="40" w:after="40" w:line="252" w:lineRule="auto"/>
              <w:jc w:val="left"/>
            </w:pPr>
            <w:r>
              <w:rPr>
                <w:rFonts w:ascii="Times New Roman" w:hAnsi="Times New Roman"/>
                <w:sz w:val="18"/>
              </w:rPr>
              <w:t>Environmental Regulation</w:t>
            </w:r>
          </w:p>
        </w:tc>
        <w:tc>
          <w:tcPr>
            <w:tcW w:type="dxa" w:w="1440"/>
          </w:tcPr>
          <w:p>
            <w:pPr>
              <w:spacing w:before="40" w:after="40" w:line="252" w:lineRule="auto"/>
              <w:jc w:val="left"/>
            </w:pPr>
            <w:r>
              <w:rPr>
                <w:rFonts w:ascii="Times New Roman" w:hAnsi="Times New Roman"/>
                <w:sz w:val="18"/>
              </w:rPr>
              <w:t>EPA CAMPD Bulk Files (2024-2025)</w:t>
            </w:r>
          </w:p>
        </w:tc>
        <w:tc>
          <w:tcPr>
            <w:tcW w:type="dxa" w:w="1584"/>
          </w:tcPr>
          <w:p>
            <w:pPr>
              <w:spacing w:before="40" w:after="40" w:line="252" w:lineRule="auto"/>
              <w:jc w:val="left"/>
            </w:pPr>
            <w:r>
              <w:rPr>
                <w:rFonts w:ascii="Times New Roman" w:hAnsi="Times New Roman"/>
                <w:sz w:val="18"/>
              </w:rPr>
              <w:t>Continuous Emission Monitoring (CEMS), 40 CFR 75</w:t>
            </w:r>
          </w:p>
        </w:tc>
        <w:tc>
          <w:tcPr>
            <w:tcW w:type="dxa" w:w="1872"/>
          </w:tcPr>
          <w:p>
            <w:pPr>
              <w:spacing w:before="40" w:after="40" w:line="252" w:lineRule="auto"/>
              <w:jc w:val="left"/>
            </w:pPr>
            <w:r>
              <w:rPr>
                <w:rFonts w:ascii="Times New Roman" w:hAnsi="Times New Roman"/>
                <w:sz w:val="18"/>
              </w:rPr>
              <w:t>Transparency in reporting drives compliance; fuel and boiler design govern baseline emissions.</w:t>
            </w:r>
          </w:p>
        </w:tc>
        <w:tc>
          <w:tcPr>
            <w:tcW w:type="dxa" w:w="2160"/>
          </w:tcPr>
          <w:p>
            <w:pPr>
              <w:spacing w:before="40" w:after="40" w:line="252" w:lineRule="auto"/>
              <w:jc w:val="left"/>
            </w:pPr>
            <w:r>
              <w:rPr>
                <w:rFonts w:ascii="Times New Roman" w:hAnsi="Times New Roman"/>
                <w:sz w:val="18"/>
              </w:rPr>
              <w:t>Provides raw data schema, unit-level dictionary, and regulatory baseline for RQ1-RQ4.</w:t>
            </w:r>
          </w:p>
        </w:tc>
      </w:tr>
      <w:tr>
        <w:tc>
          <w:tcPr>
            <w:tcW w:type="dxa" w:w="1584"/>
            <w:shd w:fill="FAFAFA"/>
          </w:tcPr>
          <w:p>
            <w:pPr>
              <w:spacing w:before="40" w:after="40" w:line="252" w:lineRule="auto"/>
              <w:jc w:val="left"/>
            </w:pPr>
            <w:r>
              <w:rPr>
                <w:rFonts w:ascii="Times New Roman" w:hAnsi="Times New Roman"/>
                <w:sz w:val="18"/>
              </w:rPr>
              <w:t>Ellis et al. (2019)</w:t>
            </w:r>
          </w:p>
        </w:tc>
        <w:tc>
          <w:tcPr>
            <w:tcW w:type="dxa" w:w="1440"/>
            <w:shd w:fill="FAFAFA"/>
          </w:tcPr>
          <w:p>
            <w:pPr>
              <w:spacing w:before="40" w:after="40" w:line="252" w:lineRule="auto"/>
              <w:jc w:val="left"/>
            </w:pPr>
            <w:r>
              <w:rPr>
                <w:rFonts w:ascii="Times New Roman" w:hAnsi="Times New Roman"/>
                <w:sz w:val="18"/>
              </w:rPr>
              <w:t>Energy &amp; Environmental Policy</w:t>
            </w:r>
          </w:p>
        </w:tc>
        <w:tc>
          <w:tcPr>
            <w:tcW w:type="dxa" w:w="1440"/>
            <w:shd w:fill="FAFAFA"/>
          </w:tcPr>
          <w:p>
            <w:pPr>
              <w:spacing w:before="40" w:after="40" w:line="252" w:lineRule="auto"/>
              <w:jc w:val="left"/>
            </w:pPr>
            <w:r>
              <w:rPr>
                <w:rFonts w:ascii="Times New Roman" w:hAnsi="Times New Roman"/>
                <w:sz w:val="18"/>
              </w:rPr>
              <w:t>U.S. Power Plant Panel (2000-2016)</w:t>
            </w:r>
          </w:p>
        </w:tc>
        <w:tc>
          <w:tcPr>
            <w:tcW w:type="dxa" w:w="1584"/>
            <w:shd w:fill="FAFAFA"/>
          </w:tcPr>
          <w:p>
            <w:pPr>
              <w:spacing w:before="40" w:after="40" w:line="252" w:lineRule="auto"/>
              <w:jc w:val="left"/>
            </w:pPr>
            <w:r>
              <w:rPr>
                <w:rFonts w:ascii="Times New Roman" w:hAnsi="Times New Roman"/>
                <w:sz w:val="18"/>
              </w:rPr>
              <w:t>Fixed Effects Econometrics, Panel Regression</w:t>
            </w:r>
          </w:p>
        </w:tc>
        <w:tc>
          <w:tcPr>
            <w:tcW w:type="dxa" w:w="1872"/>
            <w:shd w:fill="FAFAFA"/>
          </w:tcPr>
          <w:p>
            <w:pPr>
              <w:spacing w:before="40" w:after="40" w:line="252" w:lineRule="auto"/>
              <w:jc w:val="left"/>
            </w:pPr>
            <w:r>
              <w:rPr>
                <w:rFonts w:ascii="Times New Roman" w:hAnsi="Times New Roman"/>
                <w:sz w:val="18"/>
              </w:rPr>
              <w:t>Market-based programs induced massive fuel switching from coal to natural gas, reducing SO2 by &gt;80%.</w:t>
            </w:r>
          </w:p>
        </w:tc>
        <w:tc>
          <w:tcPr>
            <w:tcW w:type="dxa" w:w="2160"/>
            <w:shd w:fill="FAFAFA"/>
          </w:tcPr>
          <w:p>
            <w:pPr>
              <w:spacing w:before="40" w:after="40" w:line="252" w:lineRule="auto"/>
              <w:jc w:val="left"/>
            </w:pPr>
            <w:r>
              <w:rPr>
                <w:rFonts w:ascii="Times New Roman" w:hAnsi="Times New Roman"/>
                <w:sz w:val="18"/>
              </w:rPr>
              <w:t>Supports fuel category grouping (RQ1) and feature selection for predictive classification (RQ2).</w:t>
            </w:r>
          </w:p>
        </w:tc>
      </w:tr>
      <w:tr>
        <w:tc>
          <w:tcPr>
            <w:tcW w:type="dxa" w:w="1584"/>
          </w:tcPr>
          <w:p>
            <w:pPr>
              <w:spacing w:before="40" w:after="40" w:line="252" w:lineRule="auto"/>
              <w:jc w:val="left"/>
            </w:pPr>
            <w:r>
              <w:rPr>
                <w:rFonts w:ascii="Times New Roman" w:hAnsi="Times New Roman"/>
                <w:sz w:val="18"/>
              </w:rPr>
              <w:t>Schmalensee &amp; Stavins (2017)</w:t>
            </w:r>
          </w:p>
        </w:tc>
        <w:tc>
          <w:tcPr>
            <w:tcW w:type="dxa" w:w="1440"/>
          </w:tcPr>
          <w:p>
            <w:pPr>
              <w:spacing w:before="40" w:after="40" w:line="252" w:lineRule="auto"/>
              <w:jc w:val="left"/>
            </w:pPr>
            <w:r>
              <w:rPr>
                <w:rFonts w:ascii="Times New Roman" w:hAnsi="Times New Roman"/>
                <w:sz w:val="18"/>
              </w:rPr>
              <w:t>Resource Economics</w:t>
            </w:r>
          </w:p>
        </w:tc>
        <w:tc>
          <w:tcPr>
            <w:tcW w:type="dxa" w:w="1440"/>
          </w:tcPr>
          <w:p>
            <w:pPr>
              <w:spacing w:before="40" w:after="40" w:line="252" w:lineRule="auto"/>
              <w:jc w:val="left"/>
            </w:pPr>
            <w:r>
              <w:rPr>
                <w:rFonts w:ascii="Times New Roman" w:hAnsi="Times New Roman"/>
                <w:sz w:val="18"/>
              </w:rPr>
              <w:t>3 Decades of Cap-and-Trade Systems</w:t>
            </w:r>
          </w:p>
        </w:tc>
        <w:tc>
          <w:tcPr>
            <w:tcW w:type="dxa" w:w="1584"/>
          </w:tcPr>
          <w:p>
            <w:pPr>
              <w:spacing w:before="40" w:after="40" w:line="252" w:lineRule="auto"/>
              <w:jc w:val="left"/>
            </w:pPr>
            <w:r>
              <w:rPr>
                <w:rFonts w:ascii="Times New Roman" w:hAnsi="Times New Roman"/>
                <w:sz w:val="18"/>
              </w:rPr>
              <w:t>Policy Retrospective, Cost-Benefit Analysis</w:t>
            </w:r>
          </w:p>
        </w:tc>
        <w:tc>
          <w:tcPr>
            <w:tcW w:type="dxa" w:w="1872"/>
          </w:tcPr>
          <w:p>
            <w:pPr>
              <w:spacing w:before="40" w:after="40" w:line="252" w:lineRule="auto"/>
              <w:jc w:val="left"/>
            </w:pPr>
            <w:r>
              <w:rPr>
                <w:rFonts w:ascii="Times New Roman" w:hAnsi="Times New Roman"/>
                <w:sz w:val="18"/>
              </w:rPr>
              <w:t>Allowance trading achieved emission reductions at a fraction of command-and-control costs.</w:t>
            </w:r>
          </w:p>
        </w:tc>
        <w:tc>
          <w:tcPr>
            <w:tcW w:type="dxa" w:w="2160"/>
          </w:tcPr>
          <w:p>
            <w:pPr>
              <w:spacing w:before="40" w:after="40" w:line="252" w:lineRule="auto"/>
              <w:jc w:val="left"/>
            </w:pPr>
            <w:r>
              <w:rPr>
                <w:rFonts w:ascii="Times New Roman" w:hAnsi="Times New Roman"/>
                <w:sz w:val="18"/>
              </w:rPr>
              <w:t>Theoretical justification for regulatory program codes (ARP, CSNOX, MATS) as predictive features.</w:t>
            </w:r>
          </w:p>
        </w:tc>
      </w:tr>
      <w:tr>
        <w:tc>
          <w:tcPr>
            <w:tcW w:type="dxa" w:w="1584"/>
            <w:shd w:fill="FAFAFA"/>
          </w:tcPr>
          <w:p>
            <w:pPr>
              <w:spacing w:before="40" w:after="40" w:line="252" w:lineRule="auto"/>
              <w:jc w:val="left"/>
            </w:pPr>
            <w:r>
              <w:rPr>
                <w:rFonts w:ascii="Times New Roman" w:hAnsi="Times New Roman"/>
                <w:sz w:val="18"/>
              </w:rPr>
              <w:t>Burtraw et al. (2012)</w:t>
            </w:r>
          </w:p>
        </w:tc>
        <w:tc>
          <w:tcPr>
            <w:tcW w:type="dxa" w:w="1440"/>
            <w:shd w:fill="FAFAFA"/>
          </w:tcPr>
          <w:p>
            <w:pPr>
              <w:spacing w:before="40" w:after="40" w:line="252" w:lineRule="auto"/>
              <w:jc w:val="left"/>
            </w:pPr>
            <w:r>
              <w:rPr>
                <w:rFonts w:ascii="Times New Roman" w:hAnsi="Times New Roman"/>
                <w:sz w:val="18"/>
              </w:rPr>
              <w:t>Electricity Market Modeling</w:t>
            </w:r>
          </w:p>
        </w:tc>
        <w:tc>
          <w:tcPr>
            <w:tcW w:type="dxa" w:w="1440"/>
            <w:shd w:fill="FAFAFA"/>
          </w:tcPr>
          <w:p>
            <w:pPr>
              <w:spacing w:before="40" w:after="40" w:line="252" w:lineRule="auto"/>
              <w:jc w:val="left"/>
            </w:pPr>
            <w:r>
              <w:rPr>
                <w:rFonts w:ascii="Times New Roman" w:hAnsi="Times New Roman"/>
                <w:sz w:val="18"/>
              </w:rPr>
              <w:t>U.S. Electric Reliability Councils</w:t>
            </w:r>
          </w:p>
        </w:tc>
        <w:tc>
          <w:tcPr>
            <w:tcW w:type="dxa" w:w="1584"/>
            <w:shd w:fill="FAFAFA"/>
          </w:tcPr>
          <w:p>
            <w:pPr>
              <w:spacing w:before="40" w:after="40" w:line="252" w:lineRule="auto"/>
              <w:jc w:val="left"/>
            </w:pPr>
            <w:r>
              <w:rPr>
                <w:rFonts w:ascii="Times New Roman" w:hAnsi="Times New Roman"/>
                <w:sz w:val="18"/>
              </w:rPr>
              <w:t>Linear Programming, Simulation Modeling</w:t>
            </w:r>
          </w:p>
        </w:tc>
        <w:tc>
          <w:tcPr>
            <w:tcW w:type="dxa" w:w="1872"/>
            <w:shd w:fill="FAFAFA"/>
          </w:tcPr>
          <w:p>
            <w:pPr>
              <w:spacing w:before="40" w:after="40" w:line="252" w:lineRule="auto"/>
              <w:jc w:val="left"/>
            </w:pPr>
            <w:r>
              <w:rPr>
                <w:rFonts w:ascii="Times New Roman" w:hAnsi="Times New Roman"/>
                <w:sz w:val="18"/>
              </w:rPr>
              <w:t>Fleet reliability under carbon/emission constraints depends heavily on unit age and ramping speed.</w:t>
            </w:r>
          </w:p>
        </w:tc>
        <w:tc>
          <w:tcPr>
            <w:tcW w:type="dxa" w:w="2160"/>
            <w:shd w:fill="FAFAFA"/>
          </w:tcPr>
          <w:p>
            <w:pPr>
              <w:spacing w:before="40" w:after="40" w:line="252" w:lineRule="auto"/>
              <w:jc w:val="left"/>
            </w:pPr>
            <w:r>
              <w:rPr>
                <w:rFonts w:ascii="Times New Roman" w:hAnsi="Times New Roman"/>
                <w:sz w:val="18"/>
              </w:rPr>
              <w:t>Directly links unit vintage and thermal heat input rate to operational risk (RQ3).</w:t>
            </w:r>
          </w:p>
        </w:tc>
      </w:tr>
      <w:tr>
        <w:tc>
          <w:tcPr>
            <w:tcW w:type="dxa" w:w="1584"/>
          </w:tcPr>
          <w:p>
            <w:pPr>
              <w:spacing w:before="40" w:after="40" w:line="252" w:lineRule="auto"/>
              <w:jc w:val="left"/>
            </w:pPr>
            <w:r>
              <w:rPr>
                <w:rFonts w:ascii="Times New Roman" w:hAnsi="Times New Roman"/>
                <w:sz w:val="18"/>
              </w:rPr>
              <w:t>Harrington et al. (2004)</w:t>
            </w:r>
          </w:p>
        </w:tc>
        <w:tc>
          <w:tcPr>
            <w:tcW w:type="dxa" w:w="1440"/>
          </w:tcPr>
          <w:p>
            <w:pPr>
              <w:spacing w:before="40" w:after="40" w:line="252" w:lineRule="auto"/>
              <w:jc w:val="left"/>
            </w:pPr>
            <w:r>
              <w:rPr>
                <w:rFonts w:ascii="Times New Roman" w:hAnsi="Times New Roman"/>
                <w:sz w:val="18"/>
              </w:rPr>
              <w:t>Environmental Policy Instruments</w:t>
            </w:r>
          </w:p>
        </w:tc>
        <w:tc>
          <w:tcPr>
            <w:tcW w:type="dxa" w:w="1440"/>
          </w:tcPr>
          <w:p>
            <w:pPr>
              <w:spacing w:before="40" w:after="40" w:line="252" w:lineRule="auto"/>
              <w:jc w:val="left"/>
            </w:pPr>
            <w:r>
              <w:rPr>
                <w:rFonts w:ascii="Times New Roman" w:hAnsi="Times New Roman"/>
                <w:sz w:val="18"/>
              </w:rPr>
              <w:t>Comparative U.S. and European Fleets</w:t>
            </w:r>
          </w:p>
        </w:tc>
        <w:tc>
          <w:tcPr>
            <w:tcW w:type="dxa" w:w="1584"/>
          </w:tcPr>
          <w:p>
            <w:pPr>
              <w:spacing w:before="40" w:after="40" w:line="252" w:lineRule="auto"/>
              <w:jc w:val="left"/>
            </w:pPr>
            <w:r>
              <w:rPr>
                <w:rFonts w:ascii="Times New Roman" w:hAnsi="Times New Roman"/>
                <w:sz w:val="18"/>
              </w:rPr>
              <w:t>Comparative Institutional Analysis</w:t>
            </w:r>
          </w:p>
        </w:tc>
        <w:tc>
          <w:tcPr>
            <w:tcW w:type="dxa" w:w="1872"/>
          </w:tcPr>
          <w:p>
            <w:pPr>
              <w:spacing w:before="40" w:after="40" w:line="252" w:lineRule="auto"/>
              <w:jc w:val="left"/>
            </w:pPr>
            <w:r>
              <w:rPr>
                <w:rFonts w:ascii="Times New Roman" w:hAnsi="Times New Roman"/>
                <w:sz w:val="18"/>
              </w:rPr>
              <w:t>Economic incentives outperform prescriptive standards only when continuous monitoring is robust.</w:t>
            </w:r>
          </w:p>
        </w:tc>
        <w:tc>
          <w:tcPr>
            <w:tcW w:type="dxa" w:w="2160"/>
          </w:tcPr>
          <w:p>
            <w:pPr>
              <w:spacing w:before="40" w:after="40" w:line="252" w:lineRule="auto"/>
              <w:jc w:val="left"/>
            </w:pPr>
            <w:r>
              <w:rPr>
                <w:rFonts w:ascii="Times New Roman" w:hAnsi="Times New Roman"/>
                <w:sz w:val="18"/>
              </w:rPr>
              <w:t>Justifies using continuous heat input and control counts as objective compliance indicators.</w:t>
            </w:r>
          </w:p>
        </w:tc>
      </w:tr>
      <w:tr>
        <w:tc>
          <w:tcPr>
            <w:tcW w:type="dxa" w:w="1584"/>
            <w:shd w:fill="FAFAFA"/>
          </w:tcPr>
          <w:p>
            <w:pPr>
              <w:spacing w:before="40" w:after="40" w:line="252" w:lineRule="auto"/>
              <w:jc w:val="left"/>
            </w:pPr>
            <w:r>
              <w:rPr>
                <w:rFonts w:ascii="Times New Roman" w:hAnsi="Times New Roman"/>
                <w:sz w:val="18"/>
              </w:rPr>
              <w:t>Hollander et al. (2014)</w:t>
            </w:r>
          </w:p>
        </w:tc>
        <w:tc>
          <w:tcPr>
            <w:tcW w:type="dxa" w:w="1440"/>
            <w:shd w:fill="FAFAFA"/>
          </w:tcPr>
          <w:p>
            <w:pPr>
              <w:spacing w:before="40" w:after="40" w:line="252" w:lineRule="auto"/>
              <w:jc w:val="left"/>
            </w:pPr>
            <w:r>
              <w:rPr>
                <w:rFonts w:ascii="Times New Roman" w:hAnsi="Times New Roman"/>
                <w:sz w:val="18"/>
              </w:rPr>
              <w:t>Nonparametric Statistics</w:t>
            </w:r>
          </w:p>
        </w:tc>
        <w:tc>
          <w:tcPr>
            <w:tcW w:type="dxa" w:w="1440"/>
            <w:shd w:fill="FAFAFA"/>
          </w:tcPr>
          <w:p>
            <w:pPr>
              <w:spacing w:before="40" w:after="40" w:line="252" w:lineRule="auto"/>
              <w:jc w:val="left"/>
            </w:pPr>
            <w:r>
              <w:rPr>
                <w:rFonts w:ascii="Times New Roman" w:hAnsi="Times New Roman"/>
                <w:sz w:val="18"/>
              </w:rPr>
              <w:t>Textbook &amp; Reference Compendium</w:t>
            </w:r>
          </w:p>
        </w:tc>
        <w:tc>
          <w:tcPr>
            <w:tcW w:type="dxa" w:w="1584"/>
            <w:shd w:fill="FAFAFA"/>
          </w:tcPr>
          <w:p>
            <w:pPr>
              <w:spacing w:before="40" w:after="40" w:line="252" w:lineRule="auto"/>
              <w:jc w:val="left"/>
            </w:pPr>
            <w:r>
              <w:rPr>
                <w:rFonts w:ascii="Times New Roman" w:hAnsi="Times New Roman"/>
                <w:sz w:val="18"/>
              </w:rPr>
              <w:t>Kruskal-Wallis, Wilcoxon-Mann-Whitney Tests</w:t>
            </w:r>
          </w:p>
        </w:tc>
        <w:tc>
          <w:tcPr>
            <w:tcW w:type="dxa" w:w="1872"/>
            <w:shd w:fill="FAFAFA"/>
          </w:tcPr>
          <w:p>
            <w:pPr>
              <w:spacing w:before="40" w:after="40" w:line="252" w:lineRule="auto"/>
              <w:jc w:val="left"/>
            </w:pPr>
            <w:r>
              <w:rPr>
                <w:rFonts w:ascii="Times New Roman" w:hAnsi="Times New Roman"/>
                <w:sz w:val="18"/>
              </w:rPr>
              <w:t>Rank-based non-parametric tests maintain statistical power when normality assumptions fail in skewed data.</w:t>
            </w:r>
          </w:p>
        </w:tc>
        <w:tc>
          <w:tcPr>
            <w:tcW w:type="dxa" w:w="2160"/>
            <w:shd w:fill="FAFAFA"/>
          </w:tcPr>
          <w:p>
            <w:pPr>
              <w:spacing w:before="40" w:after="40" w:line="252" w:lineRule="auto"/>
              <w:jc w:val="left"/>
            </w:pPr>
            <w:r>
              <w:rPr>
                <w:rFonts w:ascii="Times New Roman" w:hAnsi="Times New Roman"/>
                <w:sz w:val="18"/>
              </w:rPr>
              <w:t>Direct methodological framework for non-parametric Kruskal-Wallis testing in RQ1.</w:t>
            </w:r>
          </w:p>
        </w:tc>
      </w:tr>
      <w:tr>
        <w:tc>
          <w:tcPr>
            <w:tcW w:type="dxa" w:w="1584"/>
          </w:tcPr>
          <w:p>
            <w:pPr>
              <w:spacing w:before="40" w:after="40" w:line="252" w:lineRule="auto"/>
              <w:jc w:val="left"/>
            </w:pPr>
            <w:r>
              <w:rPr>
                <w:rFonts w:ascii="Times New Roman" w:hAnsi="Times New Roman"/>
                <w:sz w:val="18"/>
              </w:rPr>
              <w:t>Gibbons &amp; Chakraborti (2011)</w:t>
            </w:r>
          </w:p>
        </w:tc>
        <w:tc>
          <w:tcPr>
            <w:tcW w:type="dxa" w:w="1440"/>
          </w:tcPr>
          <w:p>
            <w:pPr>
              <w:spacing w:before="40" w:after="40" w:line="252" w:lineRule="auto"/>
              <w:jc w:val="left"/>
            </w:pPr>
            <w:r>
              <w:rPr>
                <w:rFonts w:ascii="Times New Roman" w:hAnsi="Times New Roman"/>
                <w:sz w:val="18"/>
              </w:rPr>
              <w:t>Statistical Inference</w:t>
            </w:r>
          </w:p>
        </w:tc>
        <w:tc>
          <w:tcPr>
            <w:tcW w:type="dxa" w:w="1440"/>
          </w:tcPr>
          <w:p>
            <w:pPr>
              <w:spacing w:before="40" w:after="40" w:line="252" w:lineRule="auto"/>
              <w:jc w:val="left"/>
            </w:pPr>
            <w:r>
              <w:rPr>
                <w:rFonts w:ascii="Times New Roman" w:hAnsi="Times New Roman"/>
                <w:sz w:val="18"/>
              </w:rPr>
              <w:t>Foundational Mathematical Text</w:t>
            </w:r>
          </w:p>
        </w:tc>
        <w:tc>
          <w:tcPr>
            <w:tcW w:type="dxa" w:w="1584"/>
          </w:tcPr>
          <w:p>
            <w:pPr>
              <w:spacing w:before="40" w:after="40" w:line="252" w:lineRule="auto"/>
              <w:jc w:val="left"/>
            </w:pPr>
            <w:r>
              <w:rPr>
                <w:rFonts w:ascii="Times New Roman" w:hAnsi="Times New Roman"/>
                <w:sz w:val="18"/>
              </w:rPr>
              <w:t>Distribution-Free Inferences, Effect Sizes</w:t>
            </w:r>
          </w:p>
        </w:tc>
        <w:tc>
          <w:tcPr>
            <w:tcW w:type="dxa" w:w="1872"/>
          </w:tcPr>
          <w:p>
            <w:pPr>
              <w:spacing w:before="40" w:after="40" w:line="252" w:lineRule="auto"/>
              <w:jc w:val="left"/>
            </w:pPr>
            <w:r>
              <w:rPr>
                <w:rFonts w:ascii="Times New Roman" w:hAnsi="Times New Roman"/>
                <w:sz w:val="18"/>
              </w:rPr>
              <w:t>Formulated asymptotic relative efficiency and rank transformation mechanics for heavy-tailed data.</w:t>
            </w:r>
          </w:p>
        </w:tc>
        <w:tc>
          <w:tcPr>
            <w:tcW w:type="dxa" w:w="2160"/>
          </w:tcPr>
          <w:p>
            <w:pPr>
              <w:spacing w:before="40" w:after="40" w:line="252" w:lineRule="auto"/>
              <w:jc w:val="left"/>
            </w:pPr>
            <w:r>
              <w:rPr>
                <w:rFonts w:ascii="Times New Roman" w:hAnsi="Times New Roman"/>
                <w:sz w:val="18"/>
              </w:rPr>
              <w:t>Provides mathematical rigor for post-hoc pairwise multiple comparison adjustments.</w:t>
            </w:r>
          </w:p>
        </w:tc>
      </w:tr>
      <w:tr>
        <w:tc>
          <w:tcPr>
            <w:tcW w:type="dxa" w:w="1584"/>
            <w:shd w:fill="FAFAFA"/>
          </w:tcPr>
          <w:p>
            <w:pPr>
              <w:spacing w:before="40" w:after="40" w:line="252" w:lineRule="auto"/>
              <w:jc w:val="left"/>
            </w:pPr>
            <w:r>
              <w:rPr>
                <w:rFonts w:ascii="Times New Roman" w:hAnsi="Times New Roman"/>
                <w:sz w:val="18"/>
              </w:rPr>
              <w:t>Montgomery et al. (2021)</w:t>
            </w:r>
          </w:p>
        </w:tc>
        <w:tc>
          <w:tcPr>
            <w:tcW w:type="dxa" w:w="1440"/>
            <w:shd w:fill="FAFAFA"/>
          </w:tcPr>
          <w:p>
            <w:pPr>
              <w:spacing w:before="40" w:after="40" w:line="252" w:lineRule="auto"/>
              <w:jc w:val="left"/>
            </w:pPr>
            <w:r>
              <w:rPr>
                <w:rFonts w:ascii="Times New Roman" w:hAnsi="Times New Roman"/>
                <w:sz w:val="18"/>
              </w:rPr>
              <w:t>Econometrics &amp; Regression</w:t>
            </w:r>
          </w:p>
        </w:tc>
        <w:tc>
          <w:tcPr>
            <w:tcW w:type="dxa" w:w="1440"/>
            <w:shd w:fill="FAFAFA"/>
          </w:tcPr>
          <w:p>
            <w:pPr>
              <w:spacing w:before="40" w:after="40" w:line="252" w:lineRule="auto"/>
              <w:jc w:val="left"/>
            </w:pPr>
            <w:r>
              <w:rPr>
                <w:rFonts w:ascii="Times New Roman" w:hAnsi="Times New Roman"/>
                <w:sz w:val="18"/>
              </w:rPr>
              <w:t>Industrial Engineering Applications</w:t>
            </w:r>
          </w:p>
        </w:tc>
        <w:tc>
          <w:tcPr>
            <w:tcW w:type="dxa" w:w="1584"/>
            <w:shd w:fill="FAFAFA"/>
          </w:tcPr>
          <w:p>
            <w:pPr>
              <w:spacing w:before="40" w:after="40" w:line="252" w:lineRule="auto"/>
              <w:jc w:val="left"/>
            </w:pPr>
            <w:r>
              <w:rPr>
                <w:rFonts w:ascii="Times New Roman" w:hAnsi="Times New Roman"/>
                <w:sz w:val="18"/>
              </w:rPr>
              <w:t>OLS, Multicollinearity VIF, Residual Diagnostics</w:t>
            </w:r>
          </w:p>
        </w:tc>
        <w:tc>
          <w:tcPr>
            <w:tcW w:type="dxa" w:w="1872"/>
            <w:shd w:fill="FAFAFA"/>
          </w:tcPr>
          <w:p>
            <w:pPr>
              <w:spacing w:before="40" w:after="40" w:line="252" w:lineRule="auto"/>
              <w:jc w:val="left"/>
            </w:pPr>
            <w:r>
              <w:rPr>
                <w:rFonts w:ascii="Times New Roman" w:hAnsi="Times New Roman"/>
                <w:sz w:val="18"/>
              </w:rPr>
              <w:t>Outlines Gauss-Markov assumptions, heteroscedasticity remedies, and multivariate regression.</w:t>
            </w:r>
          </w:p>
        </w:tc>
        <w:tc>
          <w:tcPr>
            <w:tcW w:type="dxa" w:w="2160"/>
            <w:shd w:fill="FAFAFA"/>
          </w:tcPr>
          <w:p>
            <w:pPr>
              <w:spacing w:before="40" w:after="40" w:line="252" w:lineRule="auto"/>
              <w:jc w:val="left"/>
            </w:pPr>
            <w:r>
              <w:rPr>
                <w:rFonts w:ascii="Times New Roman" w:hAnsi="Times New Roman"/>
                <w:sz w:val="18"/>
              </w:rPr>
              <w:t>Methodological blueprint for bivariate and multivariate regression modeling in RQ3.</w:t>
            </w:r>
          </w:p>
        </w:tc>
      </w:tr>
      <w:tr>
        <w:tc>
          <w:tcPr>
            <w:tcW w:type="dxa" w:w="1584"/>
          </w:tcPr>
          <w:p>
            <w:pPr>
              <w:spacing w:before="40" w:after="40" w:line="252" w:lineRule="auto"/>
              <w:jc w:val="left"/>
            </w:pPr>
            <w:r>
              <w:rPr>
                <w:rFonts w:ascii="Times New Roman" w:hAnsi="Times New Roman"/>
                <w:sz w:val="18"/>
              </w:rPr>
              <w:t>Field (2018)</w:t>
            </w:r>
          </w:p>
        </w:tc>
        <w:tc>
          <w:tcPr>
            <w:tcW w:type="dxa" w:w="1440"/>
          </w:tcPr>
          <w:p>
            <w:pPr>
              <w:spacing w:before="40" w:after="40" w:line="252" w:lineRule="auto"/>
              <w:jc w:val="left"/>
            </w:pPr>
            <w:r>
              <w:rPr>
                <w:rFonts w:ascii="Times New Roman" w:hAnsi="Times New Roman"/>
                <w:sz w:val="18"/>
              </w:rPr>
              <w:t>Applied Data Analytics</w:t>
            </w:r>
          </w:p>
        </w:tc>
        <w:tc>
          <w:tcPr>
            <w:tcW w:type="dxa" w:w="1440"/>
          </w:tcPr>
          <w:p>
            <w:pPr>
              <w:spacing w:before="40" w:after="40" w:line="252" w:lineRule="auto"/>
              <w:jc w:val="left"/>
            </w:pPr>
            <w:r>
              <w:rPr>
                <w:rFonts w:ascii="Times New Roman" w:hAnsi="Times New Roman"/>
                <w:sz w:val="18"/>
              </w:rPr>
              <w:t>Statistical Modeling Handbook</w:t>
            </w:r>
          </w:p>
        </w:tc>
        <w:tc>
          <w:tcPr>
            <w:tcW w:type="dxa" w:w="1584"/>
          </w:tcPr>
          <w:p>
            <w:pPr>
              <w:spacing w:before="40" w:after="40" w:line="252" w:lineRule="auto"/>
              <w:jc w:val="left"/>
            </w:pPr>
            <w:r>
              <w:rPr>
                <w:rFonts w:ascii="Times New Roman" w:hAnsi="Times New Roman"/>
                <w:sz w:val="18"/>
              </w:rPr>
              <w:t>ANOVA, Effect Size (Eta-Squared), Post-Hoc Tests</w:t>
            </w:r>
          </w:p>
        </w:tc>
        <w:tc>
          <w:tcPr>
            <w:tcW w:type="dxa" w:w="1872"/>
          </w:tcPr>
          <w:p>
            <w:pPr>
              <w:spacing w:before="40" w:after="40" w:line="252" w:lineRule="auto"/>
              <w:jc w:val="left"/>
            </w:pPr>
            <w:r>
              <w:rPr>
                <w:rFonts w:ascii="Times New Roman" w:hAnsi="Times New Roman"/>
                <w:sz w:val="18"/>
              </w:rPr>
              <w:t>Detailing ANOVA variance decomposition, SS_between, SS_within, and Tukey HSD test formulations.</w:t>
            </w:r>
          </w:p>
        </w:tc>
        <w:tc>
          <w:tcPr>
            <w:tcW w:type="dxa" w:w="2160"/>
          </w:tcPr>
          <w:p>
            <w:pPr>
              <w:spacing w:before="40" w:after="40" w:line="252" w:lineRule="auto"/>
              <w:jc w:val="left"/>
            </w:pPr>
            <w:r>
              <w:rPr>
                <w:rFonts w:ascii="Times New Roman" w:hAnsi="Times New Roman"/>
                <w:sz w:val="18"/>
              </w:rPr>
              <w:t>Supplies calculation formulas for ANOVA F-statistic and Eta-squared effect size in RQ1.</w:t>
            </w:r>
          </w:p>
        </w:tc>
      </w:tr>
      <w:tr>
        <w:tc>
          <w:tcPr>
            <w:tcW w:type="dxa" w:w="1584"/>
            <w:shd w:fill="FAFAFA"/>
          </w:tcPr>
          <w:p>
            <w:pPr>
              <w:spacing w:before="40" w:after="40" w:line="252" w:lineRule="auto"/>
              <w:jc w:val="left"/>
            </w:pPr>
            <w:r>
              <w:rPr>
                <w:rFonts w:ascii="Times New Roman" w:hAnsi="Times New Roman"/>
                <w:sz w:val="18"/>
              </w:rPr>
              <w:t>Cochran (1977)</w:t>
            </w:r>
          </w:p>
        </w:tc>
        <w:tc>
          <w:tcPr>
            <w:tcW w:type="dxa" w:w="1440"/>
            <w:shd w:fill="FAFAFA"/>
          </w:tcPr>
          <w:p>
            <w:pPr>
              <w:spacing w:before="40" w:after="40" w:line="252" w:lineRule="auto"/>
              <w:jc w:val="left"/>
            </w:pPr>
            <w:r>
              <w:rPr>
                <w:rFonts w:ascii="Times New Roman" w:hAnsi="Times New Roman"/>
                <w:sz w:val="18"/>
              </w:rPr>
              <w:t>Sampling Theory</w:t>
            </w:r>
          </w:p>
        </w:tc>
        <w:tc>
          <w:tcPr>
            <w:tcW w:type="dxa" w:w="1440"/>
            <w:shd w:fill="FAFAFA"/>
          </w:tcPr>
          <w:p>
            <w:pPr>
              <w:spacing w:before="40" w:after="40" w:line="252" w:lineRule="auto"/>
              <w:jc w:val="left"/>
            </w:pPr>
            <w:r>
              <w:rPr>
                <w:rFonts w:ascii="Times New Roman" w:hAnsi="Times New Roman"/>
                <w:sz w:val="18"/>
              </w:rPr>
              <w:t>Mathematical Statistics Reference</w:t>
            </w:r>
          </w:p>
        </w:tc>
        <w:tc>
          <w:tcPr>
            <w:tcW w:type="dxa" w:w="1584"/>
            <w:shd w:fill="FAFAFA"/>
          </w:tcPr>
          <w:p>
            <w:pPr>
              <w:spacing w:before="40" w:after="40" w:line="252" w:lineRule="auto"/>
              <w:jc w:val="left"/>
            </w:pPr>
            <w:r>
              <w:rPr>
                <w:rFonts w:ascii="Times New Roman" w:hAnsi="Times New Roman"/>
                <w:sz w:val="18"/>
              </w:rPr>
              <w:t>Stratified Sampling, Power Analysis</w:t>
            </w:r>
          </w:p>
        </w:tc>
        <w:tc>
          <w:tcPr>
            <w:tcW w:type="dxa" w:w="1872"/>
            <w:shd w:fill="FAFAFA"/>
          </w:tcPr>
          <w:p>
            <w:pPr>
              <w:spacing w:before="40" w:after="40" w:line="252" w:lineRule="auto"/>
              <w:jc w:val="left"/>
            </w:pPr>
            <w:r>
              <w:rPr>
                <w:rFonts w:ascii="Times New Roman" w:hAnsi="Times New Roman"/>
                <w:sz w:val="18"/>
              </w:rPr>
              <w:t>Established sample size lower bounds for group comparison and variance estimation across strata.</w:t>
            </w:r>
          </w:p>
        </w:tc>
        <w:tc>
          <w:tcPr>
            <w:tcW w:type="dxa" w:w="2160"/>
            <w:shd w:fill="FAFAFA"/>
          </w:tcPr>
          <w:p>
            <w:pPr>
              <w:spacing w:before="40" w:after="40" w:line="252" w:lineRule="auto"/>
              <w:jc w:val="left"/>
            </w:pPr>
            <w:r>
              <w:rPr>
                <w:rFonts w:ascii="Times New Roman" w:hAnsi="Times New Roman"/>
                <w:sz w:val="18"/>
              </w:rPr>
              <w:t>Validates sample size adequacy (N = 4,050 exceeds minimum required sample of 180).</w:t>
            </w:r>
          </w:p>
        </w:tc>
      </w:tr>
      <w:tr>
        <w:tc>
          <w:tcPr>
            <w:tcW w:type="dxa" w:w="1584"/>
          </w:tcPr>
          <w:p>
            <w:pPr>
              <w:spacing w:before="40" w:after="40" w:line="252" w:lineRule="auto"/>
              <w:jc w:val="left"/>
            </w:pPr>
            <w:r>
              <w:rPr>
                <w:rFonts w:ascii="Times New Roman" w:hAnsi="Times New Roman"/>
                <w:sz w:val="18"/>
              </w:rPr>
              <w:t>Kruskal &amp; Wallis (1952)</w:t>
            </w:r>
          </w:p>
        </w:tc>
        <w:tc>
          <w:tcPr>
            <w:tcW w:type="dxa" w:w="1440"/>
          </w:tcPr>
          <w:p>
            <w:pPr>
              <w:spacing w:before="40" w:after="40" w:line="252" w:lineRule="auto"/>
              <w:jc w:val="left"/>
            </w:pPr>
            <w:r>
              <w:rPr>
                <w:rFonts w:ascii="Times New Roman" w:hAnsi="Times New Roman"/>
                <w:sz w:val="18"/>
              </w:rPr>
              <w:t>Mathematical Statistics</w:t>
            </w:r>
          </w:p>
        </w:tc>
        <w:tc>
          <w:tcPr>
            <w:tcW w:type="dxa" w:w="1440"/>
          </w:tcPr>
          <w:p>
            <w:pPr>
              <w:spacing w:before="40" w:after="40" w:line="252" w:lineRule="auto"/>
              <w:jc w:val="left"/>
            </w:pPr>
            <w:r>
              <w:rPr>
                <w:rFonts w:ascii="Times New Roman" w:hAnsi="Times New Roman"/>
                <w:sz w:val="18"/>
              </w:rPr>
              <w:t>Original Methodological Derivation</w:t>
            </w:r>
          </w:p>
        </w:tc>
        <w:tc>
          <w:tcPr>
            <w:tcW w:type="dxa" w:w="1584"/>
          </w:tcPr>
          <w:p>
            <w:pPr>
              <w:spacing w:before="40" w:after="40" w:line="252" w:lineRule="auto"/>
              <w:jc w:val="left"/>
            </w:pPr>
            <w:r>
              <w:rPr>
                <w:rFonts w:ascii="Times New Roman" w:hAnsi="Times New Roman"/>
                <w:sz w:val="18"/>
              </w:rPr>
              <w:t>H-statistic Rank Sum Derivation</w:t>
            </w:r>
          </w:p>
        </w:tc>
        <w:tc>
          <w:tcPr>
            <w:tcW w:type="dxa" w:w="1872"/>
          </w:tcPr>
          <w:p>
            <w:pPr>
              <w:spacing w:before="40" w:after="40" w:line="252" w:lineRule="auto"/>
              <w:jc w:val="left"/>
            </w:pPr>
            <w:r>
              <w:rPr>
                <w:rFonts w:ascii="Times New Roman" w:hAnsi="Times New Roman"/>
                <w:sz w:val="18"/>
              </w:rPr>
              <w:t>Proved asymptotic chi-square distribution of rank sums for k independent groups.</w:t>
            </w:r>
          </w:p>
        </w:tc>
        <w:tc>
          <w:tcPr>
            <w:tcW w:type="dxa" w:w="2160"/>
          </w:tcPr>
          <w:p>
            <w:pPr>
              <w:spacing w:before="40" w:after="40" w:line="252" w:lineRule="auto"/>
              <w:jc w:val="left"/>
            </w:pPr>
            <w:r>
              <w:rPr>
                <w:rFonts w:ascii="Times New Roman" w:hAnsi="Times New Roman"/>
                <w:sz w:val="18"/>
              </w:rPr>
              <w:t>Primary mathematical origin of the non-parametric H-test utilized for RQ1.</w:t>
            </w:r>
          </w:p>
        </w:tc>
      </w:tr>
      <w:tr>
        <w:tc>
          <w:tcPr>
            <w:tcW w:type="dxa" w:w="1584"/>
            <w:shd w:fill="FAFAFA"/>
          </w:tcPr>
          <w:p>
            <w:pPr>
              <w:spacing w:before="40" w:after="40" w:line="252" w:lineRule="auto"/>
              <w:jc w:val="left"/>
            </w:pPr>
            <w:r>
              <w:rPr>
                <w:rFonts w:ascii="Times New Roman" w:hAnsi="Times New Roman"/>
                <w:sz w:val="18"/>
              </w:rPr>
              <w:t>Breiman (2001)</w:t>
            </w:r>
          </w:p>
        </w:tc>
        <w:tc>
          <w:tcPr>
            <w:tcW w:type="dxa" w:w="1440"/>
            <w:shd w:fill="FAFAFA"/>
          </w:tcPr>
          <w:p>
            <w:pPr>
              <w:spacing w:before="40" w:after="40" w:line="252" w:lineRule="auto"/>
              <w:jc w:val="left"/>
            </w:pPr>
            <w:r>
              <w:rPr>
                <w:rFonts w:ascii="Times New Roman" w:hAnsi="Times New Roman"/>
                <w:sz w:val="18"/>
              </w:rPr>
              <w:t>Machine Learning</w:t>
            </w:r>
          </w:p>
        </w:tc>
        <w:tc>
          <w:tcPr>
            <w:tcW w:type="dxa" w:w="1440"/>
            <w:shd w:fill="FAFAFA"/>
          </w:tcPr>
          <w:p>
            <w:pPr>
              <w:spacing w:before="40" w:after="40" w:line="252" w:lineRule="auto"/>
              <w:jc w:val="left"/>
            </w:pPr>
            <w:r>
              <w:rPr>
                <w:rFonts w:ascii="Times New Roman" w:hAnsi="Times New Roman"/>
                <w:sz w:val="18"/>
              </w:rPr>
              <w:t>Algorithm Derivation</w:t>
            </w:r>
          </w:p>
        </w:tc>
        <w:tc>
          <w:tcPr>
            <w:tcW w:type="dxa" w:w="1584"/>
            <w:shd w:fill="FAFAFA"/>
          </w:tcPr>
          <w:p>
            <w:pPr>
              <w:spacing w:before="40" w:after="40" w:line="252" w:lineRule="auto"/>
              <w:jc w:val="left"/>
            </w:pPr>
            <w:r>
              <w:rPr>
                <w:rFonts w:ascii="Times New Roman" w:hAnsi="Times New Roman"/>
                <w:sz w:val="18"/>
              </w:rPr>
              <w:t>Random Forests, Bagging, Out-of-Bag Error</w:t>
            </w:r>
          </w:p>
        </w:tc>
        <w:tc>
          <w:tcPr>
            <w:tcW w:type="dxa" w:w="1872"/>
            <w:shd w:fill="FAFAFA"/>
          </w:tcPr>
          <w:p>
            <w:pPr>
              <w:spacing w:before="40" w:after="40" w:line="252" w:lineRule="auto"/>
              <w:jc w:val="left"/>
            </w:pPr>
            <w:r>
              <w:rPr>
                <w:rFonts w:ascii="Times New Roman" w:hAnsi="Times New Roman"/>
                <w:sz w:val="18"/>
              </w:rPr>
              <w:t>Ensemble bagging over decorrelated decision trees minimizes variance and prevents overfitting.</w:t>
            </w:r>
          </w:p>
        </w:tc>
        <w:tc>
          <w:tcPr>
            <w:tcW w:type="dxa" w:w="2160"/>
            <w:shd w:fill="FAFAFA"/>
          </w:tcPr>
          <w:p>
            <w:pPr>
              <w:spacing w:before="40" w:after="40" w:line="252" w:lineRule="auto"/>
              <w:jc w:val="left"/>
            </w:pPr>
            <w:r>
              <w:rPr>
                <w:rFonts w:ascii="Times New Roman" w:hAnsi="Times New Roman"/>
                <w:sz w:val="18"/>
              </w:rPr>
              <w:t>Methodological justification for Random Forest classifier implementation in RQ2.</w:t>
            </w:r>
          </w:p>
        </w:tc>
      </w:tr>
      <w:tr>
        <w:tc>
          <w:tcPr>
            <w:tcW w:type="dxa" w:w="1584"/>
          </w:tcPr>
          <w:p>
            <w:pPr>
              <w:spacing w:before="40" w:after="40" w:line="252" w:lineRule="auto"/>
              <w:jc w:val="left"/>
            </w:pPr>
            <w:r>
              <w:rPr>
                <w:rFonts w:ascii="Times New Roman" w:hAnsi="Times New Roman"/>
                <w:sz w:val="18"/>
              </w:rPr>
              <w:t>Friedman (2001)</w:t>
            </w:r>
          </w:p>
        </w:tc>
        <w:tc>
          <w:tcPr>
            <w:tcW w:type="dxa" w:w="1440"/>
          </w:tcPr>
          <w:p>
            <w:pPr>
              <w:spacing w:before="40" w:after="40" w:line="252" w:lineRule="auto"/>
              <w:jc w:val="left"/>
            </w:pPr>
            <w:r>
              <w:rPr>
                <w:rFonts w:ascii="Times New Roman" w:hAnsi="Times New Roman"/>
                <w:sz w:val="18"/>
              </w:rPr>
              <w:t>Supervised Learning</w:t>
            </w:r>
          </w:p>
        </w:tc>
        <w:tc>
          <w:tcPr>
            <w:tcW w:type="dxa" w:w="1440"/>
          </w:tcPr>
          <w:p>
            <w:pPr>
              <w:spacing w:before="40" w:after="40" w:line="252" w:lineRule="auto"/>
              <w:jc w:val="left"/>
            </w:pPr>
            <w:r>
              <w:rPr>
                <w:rFonts w:ascii="Times New Roman" w:hAnsi="Times New Roman"/>
                <w:sz w:val="18"/>
              </w:rPr>
              <w:t>Algorithmic Development</w:t>
            </w:r>
          </w:p>
        </w:tc>
        <w:tc>
          <w:tcPr>
            <w:tcW w:type="dxa" w:w="1584"/>
          </w:tcPr>
          <w:p>
            <w:pPr>
              <w:spacing w:before="40" w:after="40" w:line="252" w:lineRule="auto"/>
              <w:jc w:val="left"/>
            </w:pPr>
            <w:r>
              <w:rPr>
                <w:rFonts w:ascii="Times New Roman" w:hAnsi="Times New Roman"/>
                <w:sz w:val="18"/>
              </w:rPr>
              <w:t>Gradient Boosting Machine, Stage-wise Modeling</w:t>
            </w:r>
          </w:p>
        </w:tc>
        <w:tc>
          <w:tcPr>
            <w:tcW w:type="dxa" w:w="1872"/>
          </w:tcPr>
          <w:p>
            <w:pPr>
              <w:spacing w:before="40" w:after="40" w:line="252" w:lineRule="auto"/>
              <w:jc w:val="left"/>
            </w:pPr>
            <w:r>
              <w:rPr>
                <w:rFonts w:ascii="Times New Roman" w:hAnsi="Times New Roman"/>
                <w:sz w:val="18"/>
              </w:rPr>
              <w:t>Sequential gradient descent in function space optimizes complex non-linear classification loss.</w:t>
            </w:r>
          </w:p>
        </w:tc>
        <w:tc>
          <w:tcPr>
            <w:tcW w:type="dxa" w:w="2160"/>
          </w:tcPr>
          <w:p>
            <w:pPr>
              <w:spacing w:before="40" w:after="40" w:line="252" w:lineRule="auto"/>
              <w:jc w:val="left"/>
            </w:pPr>
            <w:r>
              <w:rPr>
                <w:rFonts w:ascii="Times New Roman" w:hAnsi="Times New Roman"/>
                <w:sz w:val="18"/>
              </w:rPr>
              <w:t>Theoretical basis for Gradient Boosting benchmark classifier in RQ2.</w:t>
            </w:r>
          </w:p>
        </w:tc>
      </w:tr>
      <w:tr>
        <w:tc>
          <w:tcPr>
            <w:tcW w:type="dxa" w:w="1584"/>
            <w:shd w:fill="FAFAFA"/>
          </w:tcPr>
          <w:p>
            <w:pPr>
              <w:spacing w:before="40" w:after="40" w:line="252" w:lineRule="auto"/>
              <w:jc w:val="left"/>
            </w:pPr>
            <w:r>
              <w:rPr>
                <w:rFonts w:ascii="Times New Roman" w:hAnsi="Times New Roman"/>
                <w:sz w:val="18"/>
              </w:rPr>
              <w:t>MacQueen (1967)</w:t>
            </w:r>
          </w:p>
        </w:tc>
        <w:tc>
          <w:tcPr>
            <w:tcW w:type="dxa" w:w="1440"/>
            <w:shd w:fill="FAFAFA"/>
          </w:tcPr>
          <w:p>
            <w:pPr>
              <w:spacing w:before="40" w:after="40" w:line="252" w:lineRule="auto"/>
              <w:jc w:val="left"/>
            </w:pPr>
            <w:r>
              <w:rPr>
                <w:rFonts w:ascii="Times New Roman" w:hAnsi="Times New Roman"/>
                <w:sz w:val="18"/>
              </w:rPr>
              <w:t>Unsupervised Learning</w:t>
            </w:r>
          </w:p>
        </w:tc>
        <w:tc>
          <w:tcPr>
            <w:tcW w:type="dxa" w:w="1440"/>
            <w:shd w:fill="FAFAFA"/>
          </w:tcPr>
          <w:p>
            <w:pPr>
              <w:spacing w:before="40" w:after="40" w:line="252" w:lineRule="auto"/>
              <w:jc w:val="left"/>
            </w:pPr>
            <w:r>
              <w:rPr>
                <w:rFonts w:ascii="Times New Roman" w:hAnsi="Times New Roman"/>
                <w:sz w:val="18"/>
              </w:rPr>
              <w:t>Clustering Theory</w:t>
            </w:r>
          </w:p>
        </w:tc>
        <w:tc>
          <w:tcPr>
            <w:tcW w:type="dxa" w:w="1584"/>
            <w:shd w:fill="FAFAFA"/>
          </w:tcPr>
          <w:p>
            <w:pPr>
              <w:spacing w:before="40" w:after="40" w:line="252" w:lineRule="auto"/>
              <w:jc w:val="left"/>
            </w:pPr>
            <w:r>
              <w:rPr>
                <w:rFonts w:ascii="Times New Roman" w:hAnsi="Times New Roman"/>
                <w:sz w:val="18"/>
              </w:rPr>
              <w:t>K-Means Centroid Optimization</w:t>
            </w:r>
          </w:p>
        </w:tc>
        <w:tc>
          <w:tcPr>
            <w:tcW w:type="dxa" w:w="1872"/>
            <w:shd w:fill="FAFAFA"/>
          </w:tcPr>
          <w:p>
            <w:pPr>
              <w:spacing w:before="40" w:after="40" w:line="252" w:lineRule="auto"/>
              <w:jc w:val="left"/>
            </w:pPr>
            <w:r>
              <w:rPr>
                <w:rFonts w:ascii="Times New Roman" w:hAnsi="Times New Roman"/>
                <w:sz w:val="18"/>
              </w:rPr>
              <w:t>Iterative partitioning minimizing within-cluster sum of squares converges to local Pareto optima.</w:t>
            </w:r>
          </w:p>
        </w:tc>
        <w:tc>
          <w:tcPr>
            <w:tcW w:type="dxa" w:w="2160"/>
            <w:shd w:fill="FAFAFA"/>
          </w:tcPr>
          <w:p>
            <w:pPr>
              <w:spacing w:before="40" w:after="40" w:line="252" w:lineRule="auto"/>
              <w:jc w:val="left"/>
            </w:pPr>
            <w:r>
              <w:rPr>
                <w:rFonts w:ascii="Times New Roman" w:hAnsi="Times New Roman"/>
                <w:sz w:val="18"/>
              </w:rPr>
              <w:t>Algorithmic foundation for unsupervised fleet segmentation and elbow method in RQ4.</w:t>
            </w:r>
          </w:p>
        </w:tc>
      </w:tr>
    </w:tbl>
    <w:p>
      <w:pPr>
        <w:spacing w:before="60" w:after="240"/>
      </w:pPr>
      <w:r>
        <w:rPr>
          <w:rFonts w:ascii="Times New Roman" w:hAnsi="Times New Roman"/>
          <w:i/>
          <w:sz w:val="18"/>
        </w:rPr>
        <w:t xml:space="preserve">Note. </w:t>
      </w:r>
      <w:r>
        <w:rPr>
          <w:rFonts w:ascii="Times New Roman" w:hAnsi="Times New Roman"/>
          <w:sz w:val="18"/>
        </w:rPr>
        <w:t>Synthesized literature base establishing theoretical, mathematical, and algorithmic foundations for RQ1-RQ4.</w:t>
      </w:r>
    </w:p>
    <w:p>
      <w:pPr>
        <w:keepNext/>
        <w:spacing w:before="240" w:after="120"/>
        <w:jc w:val="left"/>
      </w:pPr>
      <w:r>
        <w:rPr>
          <w:rFonts w:ascii="Times New Roman" w:hAnsi="Times New Roman"/>
          <w:b/>
          <w:color w:val="19375F"/>
          <w:sz w:val="24"/>
        </w:rPr>
        <w:t>Thematic Synthesis of Literature</w:t>
      </w:r>
    </w:p>
    <w:p>
      <w:pPr>
        <w:spacing w:after="120" w:line="276" w:lineRule="auto"/>
        <w:jc w:val="left"/>
      </w:pPr>
      <w:r>
        <w:rPr>
          <w:rFonts w:ascii="Times New Roman" w:hAnsi="Times New Roman"/>
          <w:i w:val="0"/>
          <w:sz w:val="22"/>
        </w:rPr>
        <w:t>Theme 1: Policy Mechanisms and Fuel Transition Dynamics. The literature on market-based emissions trading (Schmalensee &amp; Stavins, 2017; Ellis et al., 2019) overwhelmingly documents that statutory cap-and-trade programs fundamentally altered the merit-order dispatch of electric power plants. By establishing explicit allowance prices for SO₂ and NOₓ, the Clean Air Act amendments rendered unscrubbed coal plants economically uncompetitive relative to combined cycle natural gas units. Consequently, primary fuel selection became the primary determinant of both thermal operational capacity and absolute emission mass. This finding directly motivates RQ1, which quantitatively tests the degree to which fuel categories maintain distinct heat input and operational capacity profiles in 2025.</w:t>
      </w:r>
    </w:p>
    <w:p>
      <w:pPr>
        <w:spacing w:after="120" w:line="276" w:lineRule="auto"/>
        <w:jc w:val="left"/>
      </w:pPr>
      <w:r>
        <w:rPr>
          <w:rFonts w:ascii="Times New Roman" w:hAnsi="Times New Roman"/>
          <w:i w:val="0"/>
          <w:sz w:val="22"/>
        </w:rPr>
        <w:t>Theme 2: Generating Unit Vintage, Size, and Abatement Asymmetry. A recurring observation across environmental economics and power systems engineering (Burtraw et al., 2012; Harrington et al., 2004) is the 'grandfathering' of legacy generating assets. Because statutory new source performance standards (NSPS) imposed stringent control requirements exclusively on newly constructed facilities, electric utilities were economically incentivized to prolong the operating lifespans of aging, large-scale steam boilers built prior to 1980. This created a dual-regime fleet: older, very large baseload units equipped with capital-intensive post-combustion scrubbers (flue gas desulfurization [FGD] and selective catalytic reduction [SCR]) coexisting with modern, highly efficient, smaller combustion turbines. This structural asymmetry motivates the regression modeling in RQ3 and the multidimensional clustering framework in RQ4.</w:t>
      </w:r>
    </w:p>
    <w:p>
      <w:pPr>
        <w:spacing w:after="120" w:line="276" w:lineRule="auto"/>
        <w:jc w:val="left"/>
      </w:pPr>
      <w:r>
        <w:rPr>
          <w:rFonts w:ascii="Times New Roman" w:hAnsi="Times New Roman"/>
          <w:i w:val="0"/>
          <w:sz w:val="22"/>
        </w:rPr>
        <w:t>Theme 3: Statistical Rigor in Environmental Data Analytics. Foundational statistical literature (Hollander et al., 2014; Field, 2018; Montgomery et al., 2021) strongly cautions against relying exclusively on parametric linear models when analyzing industrial operational data. Facility-level heat input rates and installed capacities invariably exhibit extreme right-skewness, heavy tails, and heteroscedastic variance across fuel groupings. Accordingly, this capstone couples parametric One-Way ANOVA with non-parametric Kruskal-Wallis rank tests and complements bivariate Pearson correlations with Spearman rank correlations, ensuring inferential validity under non-Gaussian distributional conditions.</w:t>
      </w:r>
    </w:p>
    <w:p>
      <w:pPr>
        <w:spacing w:after="120" w:line="276" w:lineRule="auto"/>
        <w:jc w:val="left"/>
      </w:pPr>
      <w:r>
        <w:rPr>
          <w:rFonts w:ascii="Times New Roman" w:hAnsi="Times New Roman"/>
          <w:i w:val="0"/>
          <w:sz w:val="22"/>
        </w:rPr>
        <w:t>Theme 4: Machine Learning for Fleet Risk Classification. In modern energy data science, ensemble machine learning methods (Breiman, 2001; Friedman, 2001) offer substantial advantages over traditional parametric models by capturing non-linear interactions between regulatory program participation, physical unit size, and geographical region without restrictive distributional assumptions. However, literature highlights the necessity of rigorous validation—specifically stratified cross-validation and ROC-AUC assessment—to avoid misleading accuracy metrics in the presence of class imbalance. These principles directly guide the supervised learning architecture developed for RQ2.</w:t>
      </w:r>
    </w:p>
    <w:p>
      <w:pPr>
        <w:keepNext/>
        <w:spacing w:before="320" w:after="160"/>
        <w:jc w:val="center"/>
      </w:pPr>
      <w:r>
        <w:rPr>
          <w:rFonts w:ascii="Times New Roman" w:hAnsi="Times New Roman"/>
          <w:b/>
          <w:color w:val="0F2240"/>
          <w:sz w:val="28"/>
        </w:rPr>
        <w:t>3. Data Description</w:t>
      </w:r>
    </w:p>
    <w:p>
      <w:pPr>
        <w:keepNext/>
        <w:spacing w:before="240" w:after="120"/>
        <w:jc w:val="left"/>
      </w:pPr>
      <w:r>
        <w:rPr>
          <w:rFonts w:ascii="Times New Roman" w:hAnsi="Times New Roman"/>
          <w:b/>
          <w:color w:val="19375F"/>
          <w:sz w:val="24"/>
        </w:rPr>
        <w:t>Data Source(s) and Access</w:t>
      </w:r>
    </w:p>
    <w:p>
      <w:pPr>
        <w:spacing w:after="120" w:line="276" w:lineRule="auto"/>
        <w:jc w:val="left"/>
      </w:pPr>
      <w:r>
        <w:rPr>
          <w:rFonts w:ascii="Times New Roman" w:hAnsi="Times New Roman"/>
          <w:i w:val="0"/>
          <w:sz w:val="22"/>
        </w:rPr>
        <w:t>The empirical dataset analyzed in this capstone is sourced directly from the U.S. Environmental Protection Agency (EPA) Clean Air Markets Program Data (CAMPD) bulk data archive. CAMPD constitutes the official federal repository for compliance, facility attribute, and emission monitoring data collected under Title IV and Title I of the Clean Air Act. The data were accessed via the official EPA bulk data portal:</w:t>
      </w:r>
    </w:p>
    <w:p>
      <w:pPr>
        <w:spacing w:after="120" w:line="276" w:lineRule="auto"/>
        <w:jc w:val="left"/>
      </w:pPr>
      <w:r>
        <w:rPr>
          <w:rFonts w:ascii="Times New Roman" w:hAnsi="Times New Roman"/>
          <w:b/>
          <w:sz w:val="22"/>
        </w:rPr>
        <w:t xml:space="preserve">Primary Data Source: </w:t>
      </w:r>
      <w:r>
        <w:rPr>
          <w:rFonts w:ascii="Times New Roman" w:hAnsi="Times New Roman"/>
          <w:i w:val="0"/>
          <w:sz w:val="22"/>
        </w:rPr>
        <w:t>URL: https://campd.epa.gov/data/bulk-data-files (Dataset: Facility/Unit Attributes – 2025)</w:t>
      </w:r>
    </w:p>
    <w:p>
      <w:pPr>
        <w:spacing w:after="120" w:line="276" w:lineRule="auto"/>
        <w:jc w:val="left"/>
      </w:pPr>
      <w:r>
        <w:rPr>
          <w:rFonts w:ascii="Times New Roman" w:hAnsi="Times New Roman"/>
          <w:b/>
          <w:sz w:val="22"/>
        </w:rPr>
        <w:t xml:space="preserve">Citation: </w:t>
      </w:r>
      <w:r>
        <w:rPr>
          <w:rFonts w:ascii="Times New Roman" w:hAnsi="Times New Roman"/>
          <w:i w:val="0"/>
          <w:sz w:val="22"/>
        </w:rPr>
        <w:t>APA 7 Citation: U.S. Environmental Protection Agency. (2024). Clean Air Markets Program data: Bulk data files [Data set]. U.S. EPA. https://campd.epa.gov/data/bulk-data-files</w:t>
      </w:r>
    </w:p>
    <w:p>
      <w:pPr>
        <w:keepNext/>
        <w:spacing w:before="240" w:after="120"/>
        <w:jc w:val="left"/>
      </w:pPr>
      <w:r>
        <w:rPr>
          <w:rFonts w:ascii="Times New Roman" w:hAnsi="Times New Roman"/>
          <w:b/>
          <w:color w:val="19375F"/>
          <w:sz w:val="24"/>
        </w:rPr>
        <w:t>Dataset Overview</w:t>
      </w:r>
    </w:p>
    <w:p>
      <w:pPr>
        <w:spacing w:after="120" w:line="276" w:lineRule="auto"/>
        <w:jc w:val="left"/>
      </w:pPr>
      <w:r>
        <w:rPr>
          <w:rFonts w:ascii="Times New Roman" w:hAnsi="Times New Roman"/>
          <w:i w:val="0"/>
          <w:sz w:val="22"/>
        </w:rPr>
        <w:t>The raw dataset consists of a single cross-sectional tabular file (facility-2025.csv) containing unit-level technical and administrative attributes for power generating facilities across the United States. Key summary parameters include:</w:t>
      </w:r>
    </w:p>
    <w:p>
      <w:pPr>
        <w:spacing w:after="60" w:line="276" w:lineRule="auto"/>
        <w:jc w:val="left"/>
      </w:pPr>
      <w:r>
        <w:rPr>
          <w:rFonts w:ascii="Times New Roman" w:hAnsi="Times New Roman"/>
          <w:b/>
          <w:sz w:val="22"/>
        </w:rPr>
        <w:t xml:space="preserve">Number of Records (Rows, N): </w:t>
      </w:r>
      <w:r>
        <w:rPr>
          <w:rFonts w:ascii="Times New Roman" w:hAnsi="Times New Roman"/>
          <w:i w:val="0"/>
          <w:sz w:val="22"/>
        </w:rPr>
        <w:t>4,050 generating units across 1,328 unique facilities</w:t>
      </w:r>
    </w:p>
    <w:p>
      <w:pPr>
        <w:spacing w:after="60" w:line="276" w:lineRule="auto"/>
        <w:jc w:val="left"/>
      </w:pPr>
      <w:r>
        <w:rPr>
          <w:rFonts w:ascii="Times New Roman" w:hAnsi="Times New Roman"/>
          <w:b/>
          <w:sz w:val="22"/>
        </w:rPr>
        <w:t xml:space="preserve">Number of Variables (Columns, p): </w:t>
      </w:r>
      <w:r>
        <w:rPr>
          <w:rFonts w:ascii="Times New Roman" w:hAnsi="Times New Roman"/>
          <w:i w:val="0"/>
          <w:sz w:val="22"/>
        </w:rPr>
        <w:t>45 attributes (30 original CAMPD variables + 15 engineered features)</w:t>
      </w:r>
    </w:p>
    <w:p>
      <w:pPr>
        <w:spacing w:after="60" w:line="276" w:lineRule="auto"/>
        <w:jc w:val="left"/>
      </w:pPr>
      <w:r>
        <w:rPr>
          <w:rFonts w:ascii="Times New Roman" w:hAnsi="Times New Roman"/>
          <w:b/>
          <w:sz w:val="22"/>
        </w:rPr>
        <w:t xml:space="preserve">Temporal Coverage: </w:t>
      </w:r>
      <w:r>
        <w:rPr>
          <w:rFonts w:ascii="Times New Roman" w:hAnsi="Times New Roman"/>
          <w:i w:val="0"/>
          <w:sz w:val="22"/>
        </w:rPr>
        <w:t>Calendar Year 2025 (covering cross-sectional active status and operating dates)</w:t>
      </w:r>
    </w:p>
    <w:p>
      <w:pPr>
        <w:spacing w:after="60" w:line="276" w:lineRule="auto"/>
        <w:jc w:val="left"/>
      </w:pPr>
      <w:r>
        <w:rPr>
          <w:rFonts w:ascii="Times New Roman" w:hAnsi="Times New Roman"/>
          <w:b/>
          <w:sz w:val="22"/>
        </w:rPr>
        <w:t xml:space="preserve">Unit of Analysis: </w:t>
      </w:r>
      <w:r>
        <w:rPr>
          <w:rFonts w:ascii="Times New Roman" w:hAnsi="Times New Roman"/>
          <w:i w:val="0"/>
          <w:sz w:val="22"/>
        </w:rPr>
        <w:t>Electric power generating unit (boiler, combustion turbine, combined cycle train)</w:t>
      </w:r>
    </w:p>
    <w:p>
      <w:pPr>
        <w:spacing w:after="60" w:line="276" w:lineRule="auto"/>
        <w:jc w:val="left"/>
      </w:pPr>
      <w:r>
        <w:rPr>
          <w:rFonts w:ascii="Times New Roman" w:hAnsi="Times New Roman"/>
          <w:b/>
          <w:sz w:val="22"/>
        </w:rPr>
        <w:t xml:space="preserve">Geographic Scope: </w:t>
      </w:r>
      <w:r>
        <w:rPr>
          <w:rFonts w:ascii="Times New Roman" w:hAnsi="Times New Roman"/>
          <w:i w:val="0"/>
          <w:sz w:val="22"/>
        </w:rPr>
        <w:t>52 jurisdictions (50 U.S. states, District of Columbia, and Puerto Rico/Territories)</w:t>
      </w:r>
    </w:p>
    <w:p>
      <w:pPr>
        <w:spacing w:after="240" w:line="276" w:lineRule="auto"/>
        <w:jc w:val="left"/>
      </w:pPr>
      <w:r>
        <w:rPr>
          <w:rFonts w:ascii="Times New Roman" w:hAnsi="Times New Roman"/>
          <w:b/>
          <w:sz w:val="22"/>
        </w:rPr>
        <w:t xml:space="preserve">Target Variables: </w:t>
      </w:r>
      <w:r>
        <w:rPr>
          <w:rFonts w:ascii="Times New Roman" w:hAnsi="Times New Roman"/>
          <w:i w:val="0"/>
          <w:sz w:val="22"/>
        </w:rPr>
        <w:t>High_Emitter (Binary indicator: 1 = Max Hourly HI Rate ≥ 2350.0 mmBtu/hr, 75th percentile; 0 otherwise) and Heat_Input_Rate (Continuous combustion capacity, mmBtu/hr).</w:t>
      </w:r>
    </w:p>
    <w:p>
      <w:pPr>
        <w:keepNext/>
        <w:spacing w:before="240" w:after="120"/>
        <w:jc w:val="left"/>
      </w:pPr>
      <w:r>
        <w:rPr>
          <w:rFonts w:ascii="Times New Roman" w:hAnsi="Times New Roman"/>
          <w:b/>
          <w:color w:val="19375F"/>
          <w:sz w:val="24"/>
        </w:rPr>
        <w:t>Data Dictionary</w:t>
      </w:r>
    </w:p>
    <w:p>
      <w:pPr>
        <w:spacing w:after="120" w:line="276" w:lineRule="auto"/>
        <w:jc w:val="left"/>
      </w:pPr>
      <w:r>
        <w:rPr>
          <w:rFonts w:ascii="Times New Roman" w:hAnsi="Times New Roman"/>
          <w:i w:val="0"/>
          <w:sz w:val="22"/>
        </w:rPr>
        <w:t>Table 2 provides the mandatory data dictionary detailing the core raw and engineered variables, definitions, storage datatypes, allowed ranges, missing value handling strategies, and relevant analytical notes.</w:t>
      </w:r>
    </w:p>
    <w:p>
      <w:pPr>
        <w:keepNext/>
        <w:spacing w:before="240" w:after="40"/>
      </w:pPr>
      <w:r>
        <w:rPr>
          <w:rFonts w:ascii="Times New Roman" w:hAnsi="Times New Roman"/>
          <w:b/>
          <w:sz w:val="22"/>
        </w:rPr>
        <w:t>Table 2</w:t>
      </w:r>
    </w:p>
    <w:p>
      <w:pPr>
        <w:keepNext/>
        <w:spacing w:before="0" w:after="120"/>
      </w:pPr>
      <w:r>
        <w:rPr>
          <w:rFonts w:ascii="Times New Roman" w:hAnsi="Times New Roman"/>
          <w:i/>
          <w:sz w:val="22"/>
        </w:rPr>
        <w:t>Data Dictionary for Clean Air Markets Program Facility Attributes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560"/>
        <w:gridCol w:w="1560"/>
        <w:gridCol w:w="1560"/>
        <w:gridCol w:w="1560"/>
        <w:gridCol w:w="1560"/>
        <w:gridCol w:w="1560"/>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Variable Name</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Definition</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Datatype</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Allowed Values/Range</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Missing Handling</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Analytical Notes</w:t>
            </w:r>
          </w:p>
        </w:tc>
      </w:tr>
      <w:tr>
        <w:tc>
          <w:tcPr>
            <w:tcW w:type="dxa" w:w="1584"/>
          </w:tcPr>
          <w:p>
            <w:pPr>
              <w:spacing w:before="40" w:after="40" w:line="252" w:lineRule="auto"/>
              <w:jc w:val="left"/>
            </w:pPr>
            <w:r>
              <w:rPr>
                <w:rFonts w:ascii="Times New Roman" w:hAnsi="Times New Roman"/>
                <w:sz w:val="18"/>
              </w:rPr>
              <w:t>State</w:t>
            </w:r>
          </w:p>
        </w:tc>
        <w:tc>
          <w:tcPr>
            <w:tcW w:type="dxa" w:w="2016"/>
          </w:tcPr>
          <w:p>
            <w:pPr>
              <w:spacing w:before="40" w:after="40" w:line="252" w:lineRule="auto"/>
              <w:jc w:val="left"/>
            </w:pPr>
            <w:r>
              <w:rPr>
                <w:rFonts w:ascii="Times New Roman" w:hAnsi="Times New Roman"/>
                <w:sz w:val="18"/>
              </w:rPr>
              <w:t>U.S. state postal code of facility</w:t>
            </w:r>
          </w:p>
        </w:tc>
        <w:tc>
          <w:tcPr>
            <w:tcW w:type="dxa" w:w="1296"/>
          </w:tcPr>
          <w:p>
            <w:pPr>
              <w:spacing w:before="40" w:after="40" w:line="252" w:lineRule="auto"/>
              <w:jc w:val="left"/>
            </w:pPr>
            <w:r>
              <w:rPr>
                <w:rFonts w:ascii="Times New Roman" w:hAnsi="Times New Roman"/>
                <w:sz w:val="18"/>
              </w:rPr>
              <w:t>String (Categorical)</w:t>
            </w:r>
          </w:p>
        </w:tc>
        <w:tc>
          <w:tcPr>
            <w:tcW w:type="dxa" w:w="1584"/>
          </w:tcPr>
          <w:p>
            <w:pPr>
              <w:spacing w:before="40" w:after="40" w:line="252" w:lineRule="auto"/>
              <w:jc w:val="left"/>
            </w:pPr>
            <w:r>
              <w:rPr>
                <w:rFonts w:ascii="Times New Roman" w:hAnsi="Times New Roman"/>
                <w:sz w:val="18"/>
              </w:rPr>
              <w:t>52 states/territories</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Identifies state-level environmental jurisdiction.</w:t>
            </w:r>
          </w:p>
        </w:tc>
      </w:tr>
      <w:tr>
        <w:tc>
          <w:tcPr>
            <w:tcW w:type="dxa" w:w="1584"/>
            <w:shd w:fill="FAFAFA"/>
          </w:tcPr>
          <w:p>
            <w:pPr>
              <w:spacing w:before="40" w:after="40" w:line="252" w:lineRule="auto"/>
              <w:jc w:val="left"/>
            </w:pPr>
            <w:r>
              <w:rPr>
                <w:rFonts w:ascii="Times New Roman" w:hAnsi="Times New Roman"/>
                <w:sz w:val="18"/>
              </w:rPr>
              <w:t>Facility ID</w:t>
            </w:r>
          </w:p>
        </w:tc>
        <w:tc>
          <w:tcPr>
            <w:tcW w:type="dxa" w:w="2016"/>
            <w:shd w:fill="FAFAFA"/>
          </w:tcPr>
          <w:p>
            <w:pPr>
              <w:spacing w:before="40" w:after="40" w:line="252" w:lineRule="auto"/>
              <w:jc w:val="left"/>
            </w:pPr>
            <w:r>
              <w:rPr>
                <w:rFonts w:ascii="Times New Roman" w:hAnsi="Times New Roman"/>
                <w:sz w:val="18"/>
              </w:rPr>
              <w:t>Unique federal identifier assigned by EPA / ORISPL</w:t>
            </w:r>
          </w:p>
        </w:tc>
        <w:tc>
          <w:tcPr>
            <w:tcW w:type="dxa" w:w="1296"/>
            <w:shd w:fill="FAFAFA"/>
          </w:tcPr>
          <w:p>
            <w:pPr>
              <w:spacing w:before="40" w:after="40" w:line="252" w:lineRule="auto"/>
              <w:jc w:val="left"/>
            </w:pPr>
            <w:r>
              <w:rPr>
                <w:rFonts w:ascii="Times New Roman" w:hAnsi="Times New Roman"/>
                <w:sz w:val="18"/>
              </w:rPr>
              <w:t>Integer</w:t>
            </w:r>
          </w:p>
        </w:tc>
        <w:tc>
          <w:tcPr>
            <w:tcW w:type="dxa" w:w="1584"/>
            <w:shd w:fill="FAFAFA"/>
          </w:tcPr>
          <w:p>
            <w:pPr>
              <w:spacing w:before="40" w:after="40" w:line="252" w:lineRule="auto"/>
              <w:jc w:val="left"/>
            </w:pPr>
            <w:r>
              <w:rPr>
                <w:rFonts w:ascii="Times New Roman" w:hAnsi="Times New Roman"/>
                <w:sz w:val="18"/>
              </w:rPr>
              <w:t>3 to 67540</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Primary key for facility-level aggregation.</w:t>
            </w:r>
          </w:p>
        </w:tc>
      </w:tr>
      <w:tr>
        <w:tc>
          <w:tcPr>
            <w:tcW w:type="dxa" w:w="1584"/>
          </w:tcPr>
          <w:p>
            <w:pPr>
              <w:spacing w:before="40" w:after="40" w:line="252" w:lineRule="auto"/>
              <w:jc w:val="left"/>
            </w:pPr>
            <w:r>
              <w:rPr>
                <w:rFonts w:ascii="Times New Roman" w:hAnsi="Times New Roman"/>
                <w:sz w:val="18"/>
              </w:rPr>
              <w:t>Facility Name</w:t>
            </w:r>
          </w:p>
        </w:tc>
        <w:tc>
          <w:tcPr>
            <w:tcW w:type="dxa" w:w="2016"/>
          </w:tcPr>
          <w:p>
            <w:pPr>
              <w:spacing w:before="40" w:after="40" w:line="252" w:lineRule="auto"/>
              <w:jc w:val="left"/>
            </w:pPr>
            <w:r>
              <w:rPr>
                <w:rFonts w:ascii="Times New Roman" w:hAnsi="Times New Roman"/>
                <w:sz w:val="18"/>
              </w:rPr>
              <w:t>Official registered plant or facility name</w:t>
            </w:r>
          </w:p>
        </w:tc>
        <w:tc>
          <w:tcPr>
            <w:tcW w:type="dxa" w:w="1296"/>
          </w:tcPr>
          <w:p>
            <w:pPr>
              <w:spacing w:before="40" w:after="40" w:line="252" w:lineRule="auto"/>
              <w:jc w:val="left"/>
            </w:pPr>
            <w:r>
              <w:rPr>
                <w:rFonts w:ascii="Times New Roman" w:hAnsi="Times New Roman"/>
                <w:sz w:val="18"/>
              </w:rPr>
              <w:t>String</w:t>
            </w:r>
          </w:p>
        </w:tc>
        <w:tc>
          <w:tcPr>
            <w:tcW w:type="dxa" w:w="1584"/>
          </w:tcPr>
          <w:p>
            <w:pPr>
              <w:spacing w:before="40" w:after="40" w:line="252" w:lineRule="auto"/>
              <w:jc w:val="left"/>
            </w:pPr>
            <w:r>
              <w:rPr>
                <w:rFonts w:ascii="Times New Roman" w:hAnsi="Times New Roman"/>
                <w:sz w:val="18"/>
              </w:rPr>
              <w:t>1,325 unique names</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Commercial plant designation.</w:t>
            </w:r>
          </w:p>
        </w:tc>
      </w:tr>
      <w:tr>
        <w:tc>
          <w:tcPr>
            <w:tcW w:type="dxa" w:w="1584"/>
            <w:shd w:fill="FAFAFA"/>
          </w:tcPr>
          <w:p>
            <w:pPr>
              <w:spacing w:before="40" w:after="40" w:line="252" w:lineRule="auto"/>
              <w:jc w:val="left"/>
            </w:pPr>
            <w:r>
              <w:rPr>
                <w:rFonts w:ascii="Times New Roman" w:hAnsi="Times New Roman"/>
                <w:sz w:val="18"/>
              </w:rPr>
              <w:t>Unit ID</w:t>
            </w:r>
          </w:p>
        </w:tc>
        <w:tc>
          <w:tcPr>
            <w:tcW w:type="dxa" w:w="2016"/>
            <w:shd w:fill="FAFAFA"/>
          </w:tcPr>
          <w:p>
            <w:pPr>
              <w:spacing w:before="40" w:after="40" w:line="252" w:lineRule="auto"/>
              <w:jc w:val="left"/>
            </w:pPr>
            <w:r>
              <w:rPr>
                <w:rFonts w:ascii="Times New Roman" w:hAnsi="Times New Roman"/>
                <w:sz w:val="18"/>
              </w:rPr>
              <w:t>Internal unit or boiler identifier</w:t>
            </w:r>
          </w:p>
        </w:tc>
        <w:tc>
          <w:tcPr>
            <w:tcW w:type="dxa" w:w="1296"/>
            <w:shd w:fill="FAFAFA"/>
          </w:tcPr>
          <w:p>
            <w:pPr>
              <w:spacing w:before="40" w:after="40" w:line="252" w:lineRule="auto"/>
              <w:jc w:val="left"/>
            </w:pPr>
            <w:r>
              <w:rPr>
                <w:rFonts w:ascii="Times New Roman" w:hAnsi="Times New Roman"/>
                <w:sz w:val="18"/>
              </w:rPr>
              <w:t>String</w:t>
            </w:r>
          </w:p>
        </w:tc>
        <w:tc>
          <w:tcPr>
            <w:tcW w:type="dxa" w:w="1584"/>
            <w:shd w:fill="FAFAFA"/>
          </w:tcPr>
          <w:p>
            <w:pPr>
              <w:spacing w:before="40" w:after="40" w:line="252" w:lineRule="auto"/>
              <w:jc w:val="left"/>
            </w:pPr>
            <w:r>
              <w:rPr>
                <w:rFonts w:ascii="Times New Roman" w:hAnsi="Times New Roman"/>
                <w:sz w:val="18"/>
              </w:rPr>
              <w:t>1,412 unique unit tags</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Disambiguates units within multi-unit facilities.</w:t>
            </w:r>
          </w:p>
        </w:tc>
      </w:tr>
      <w:tr>
        <w:tc>
          <w:tcPr>
            <w:tcW w:type="dxa" w:w="1584"/>
          </w:tcPr>
          <w:p>
            <w:pPr>
              <w:spacing w:before="40" w:after="40" w:line="252" w:lineRule="auto"/>
              <w:jc w:val="left"/>
            </w:pPr>
            <w:r>
              <w:rPr>
                <w:rFonts w:ascii="Times New Roman" w:hAnsi="Times New Roman"/>
                <w:sz w:val="18"/>
              </w:rPr>
              <w:t>Unit Type</w:t>
            </w:r>
          </w:p>
        </w:tc>
        <w:tc>
          <w:tcPr>
            <w:tcW w:type="dxa" w:w="2016"/>
          </w:tcPr>
          <w:p>
            <w:pPr>
              <w:spacing w:before="40" w:after="40" w:line="252" w:lineRule="auto"/>
              <w:jc w:val="left"/>
            </w:pPr>
            <w:r>
              <w:rPr>
                <w:rFonts w:ascii="Times New Roman" w:hAnsi="Times New Roman"/>
                <w:sz w:val="18"/>
              </w:rPr>
              <w:t>Boiler combustion or turbine technology</w:t>
            </w:r>
          </w:p>
        </w:tc>
        <w:tc>
          <w:tcPr>
            <w:tcW w:type="dxa" w:w="1296"/>
          </w:tcPr>
          <w:p>
            <w:pPr>
              <w:spacing w:before="40" w:after="40" w:line="252" w:lineRule="auto"/>
              <w:jc w:val="left"/>
            </w:pPr>
            <w:r>
              <w:rPr>
                <w:rFonts w:ascii="Times New Roman" w:hAnsi="Times New Roman"/>
                <w:sz w:val="18"/>
              </w:rPr>
              <w:t>String (Categorical)</w:t>
            </w:r>
          </w:p>
        </w:tc>
        <w:tc>
          <w:tcPr>
            <w:tcW w:type="dxa" w:w="1584"/>
          </w:tcPr>
          <w:p>
            <w:pPr>
              <w:spacing w:before="40" w:after="40" w:line="252" w:lineRule="auto"/>
              <w:jc w:val="left"/>
            </w:pPr>
            <w:r>
              <w:rPr>
                <w:rFonts w:ascii="Times New Roman" w:hAnsi="Times New Roman"/>
                <w:sz w:val="18"/>
              </w:rPr>
              <w:t>33 categories</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Recoded into 5 major technology classes.</w:t>
            </w:r>
          </w:p>
        </w:tc>
      </w:tr>
      <w:tr>
        <w:tc>
          <w:tcPr>
            <w:tcW w:type="dxa" w:w="1584"/>
            <w:shd w:fill="FAFAFA"/>
          </w:tcPr>
          <w:p>
            <w:pPr>
              <w:spacing w:before="40" w:after="40" w:line="252" w:lineRule="auto"/>
              <w:jc w:val="left"/>
            </w:pPr>
            <w:r>
              <w:rPr>
                <w:rFonts w:ascii="Times New Roman" w:hAnsi="Times New Roman"/>
                <w:sz w:val="18"/>
              </w:rPr>
              <w:t>Primary Fuel Type</w:t>
            </w:r>
          </w:p>
        </w:tc>
        <w:tc>
          <w:tcPr>
            <w:tcW w:type="dxa" w:w="2016"/>
            <w:shd w:fill="FAFAFA"/>
          </w:tcPr>
          <w:p>
            <w:pPr>
              <w:spacing w:before="40" w:after="40" w:line="252" w:lineRule="auto"/>
              <w:jc w:val="left"/>
            </w:pPr>
            <w:r>
              <w:rPr>
                <w:rFonts w:ascii="Times New Roman" w:hAnsi="Times New Roman"/>
                <w:sz w:val="18"/>
              </w:rPr>
              <w:t>Main combustible fuel utilized for energy</w:t>
            </w:r>
          </w:p>
        </w:tc>
        <w:tc>
          <w:tcPr>
            <w:tcW w:type="dxa" w:w="1296"/>
            <w:shd w:fill="FAFAFA"/>
          </w:tcPr>
          <w:p>
            <w:pPr>
              <w:spacing w:before="40" w:after="40" w:line="252" w:lineRule="auto"/>
              <w:jc w:val="left"/>
            </w:pPr>
            <w:r>
              <w:rPr>
                <w:rFonts w:ascii="Times New Roman" w:hAnsi="Times New Roman"/>
                <w:sz w:val="18"/>
              </w:rPr>
              <w:t>String (Categorical)</w:t>
            </w:r>
          </w:p>
        </w:tc>
        <w:tc>
          <w:tcPr>
            <w:tcW w:type="dxa" w:w="1584"/>
            <w:shd w:fill="FAFAFA"/>
          </w:tcPr>
          <w:p>
            <w:pPr>
              <w:spacing w:before="40" w:after="40" w:line="252" w:lineRule="auto"/>
              <w:jc w:val="left"/>
            </w:pPr>
            <w:r>
              <w:rPr>
                <w:rFonts w:ascii="Times New Roman" w:hAnsi="Times New Roman"/>
                <w:sz w:val="18"/>
              </w:rPr>
              <w:t>12 fuel codes</w:t>
            </w:r>
          </w:p>
        </w:tc>
        <w:tc>
          <w:tcPr>
            <w:tcW w:type="dxa" w:w="1728"/>
            <w:shd w:fill="FAFAFA"/>
          </w:tcPr>
          <w:p>
            <w:pPr>
              <w:spacing w:before="40" w:after="40" w:line="252" w:lineRule="auto"/>
              <w:jc w:val="left"/>
            </w:pPr>
            <w:r>
              <w:rPr>
                <w:rFonts w:ascii="Times New Roman" w:hAnsi="Times New Roman"/>
                <w:sz w:val="18"/>
              </w:rPr>
              <w:t>44 missing (Imputed to Other/Unknown)</w:t>
            </w:r>
          </w:p>
        </w:tc>
        <w:tc>
          <w:tcPr>
            <w:tcW w:type="dxa" w:w="1872"/>
            <w:shd w:fill="FAFAFA"/>
          </w:tcPr>
          <w:p>
            <w:pPr>
              <w:spacing w:before="40" w:after="40" w:line="252" w:lineRule="auto"/>
              <w:jc w:val="left"/>
            </w:pPr>
            <w:r>
              <w:rPr>
                <w:rFonts w:ascii="Times New Roman" w:hAnsi="Times New Roman"/>
                <w:sz w:val="18"/>
              </w:rPr>
              <w:t>Recoded into 5 primary fuel categories for RQ1.</w:t>
            </w:r>
          </w:p>
        </w:tc>
      </w:tr>
      <w:tr>
        <w:tc>
          <w:tcPr>
            <w:tcW w:type="dxa" w:w="1584"/>
          </w:tcPr>
          <w:p>
            <w:pPr>
              <w:spacing w:before="40" w:after="40" w:line="252" w:lineRule="auto"/>
              <w:jc w:val="left"/>
            </w:pPr>
            <w:r>
              <w:rPr>
                <w:rFonts w:ascii="Times New Roman" w:hAnsi="Times New Roman"/>
                <w:sz w:val="18"/>
              </w:rPr>
              <w:t>Associated Generators &amp; Capacity</w:t>
            </w:r>
          </w:p>
        </w:tc>
        <w:tc>
          <w:tcPr>
            <w:tcW w:type="dxa" w:w="2016"/>
          </w:tcPr>
          <w:p>
            <w:pPr>
              <w:spacing w:before="40" w:after="40" w:line="252" w:lineRule="auto"/>
              <w:jc w:val="left"/>
            </w:pPr>
            <w:r>
              <w:rPr>
                <w:rFonts w:ascii="Times New Roman" w:hAnsi="Times New Roman"/>
                <w:sz w:val="18"/>
              </w:rPr>
              <w:t>Generator name and nameplate electrical capacity (MWe)</w:t>
            </w:r>
          </w:p>
        </w:tc>
        <w:tc>
          <w:tcPr>
            <w:tcW w:type="dxa" w:w="1296"/>
          </w:tcPr>
          <w:p>
            <w:pPr>
              <w:spacing w:before="40" w:after="40" w:line="252" w:lineRule="auto"/>
              <w:jc w:val="left"/>
            </w:pPr>
            <w:r>
              <w:rPr>
                <w:rFonts w:ascii="Times New Roman" w:hAnsi="Times New Roman"/>
                <w:sz w:val="18"/>
              </w:rPr>
              <w:t>String (Formatted text)</w:t>
            </w:r>
          </w:p>
        </w:tc>
        <w:tc>
          <w:tcPr>
            <w:tcW w:type="dxa" w:w="1584"/>
          </w:tcPr>
          <w:p>
            <w:pPr>
              <w:spacing w:before="40" w:after="40" w:line="252" w:lineRule="auto"/>
              <w:jc w:val="left"/>
            </w:pPr>
            <w:r>
              <w:rPr>
                <w:rFonts w:ascii="Times New Roman" w:hAnsi="Times New Roman"/>
                <w:sz w:val="18"/>
              </w:rPr>
              <w:t>Text e.g. '1 (153.1)'</w:t>
            </w:r>
          </w:p>
        </w:tc>
        <w:tc>
          <w:tcPr>
            <w:tcW w:type="dxa" w:w="1728"/>
          </w:tcPr>
          <w:p>
            <w:pPr>
              <w:spacing w:before="40" w:after="40" w:line="252" w:lineRule="auto"/>
              <w:jc w:val="left"/>
            </w:pPr>
            <w:r>
              <w:rPr>
                <w:rFonts w:ascii="Times New Roman" w:hAnsi="Times New Roman"/>
                <w:sz w:val="18"/>
              </w:rPr>
              <w:t>150 missing (Parsed and imputed via median)</w:t>
            </w:r>
          </w:p>
        </w:tc>
        <w:tc>
          <w:tcPr>
            <w:tcW w:type="dxa" w:w="1872"/>
          </w:tcPr>
          <w:p>
            <w:pPr>
              <w:spacing w:before="40" w:after="40" w:line="252" w:lineRule="auto"/>
              <w:jc w:val="left"/>
            </w:pPr>
            <w:r>
              <w:rPr>
                <w:rFonts w:ascii="Times New Roman" w:hAnsi="Times New Roman"/>
                <w:sz w:val="18"/>
              </w:rPr>
              <w:t>Parsed via regex to extract total installed Capacity_MW.</w:t>
            </w:r>
          </w:p>
        </w:tc>
      </w:tr>
      <w:tr>
        <w:tc>
          <w:tcPr>
            <w:tcW w:type="dxa" w:w="1584"/>
            <w:shd w:fill="FAFAFA"/>
          </w:tcPr>
          <w:p>
            <w:pPr>
              <w:spacing w:before="40" w:after="40" w:line="252" w:lineRule="auto"/>
              <w:jc w:val="left"/>
            </w:pPr>
            <w:r>
              <w:rPr>
                <w:rFonts w:ascii="Times New Roman" w:hAnsi="Times New Roman"/>
                <w:sz w:val="18"/>
              </w:rPr>
              <w:t>Max Hourly HI Rate (mmBtu/hr)</w:t>
            </w:r>
          </w:p>
        </w:tc>
        <w:tc>
          <w:tcPr>
            <w:tcW w:type="dxa" w:w="2016"/>
            <w:shd w:fill="FAFAFA"/>
          </w:tcPr>
          <w:p>
            <w:pPr>
              <w:spacing w:before="40" w:after="40" w:line="252" w:lineRule="auto"/>
              <w:jc w:val="left"/>
            </w:pPr>
            <w:r>
              <w:rPr>
                <w:rFonts w:ascii="Times New Roman" w:hAnsi="Times New Roman"/>
                <w:sz w:val="18"/>
              </w:rPr>
              <w:t>Maximum design hourly thermal heat input rate</w:t>
            </w:r>
          </w:p>
        </w:tc>
        <w:tc>
          <w:tcPr>
            <w:tcW w:type="dxa" w:w="1296"/>
            <w:shd w:fill="FAFAFA"/>
          </w:tcPr>
          <w:p>
            <w:pPr>
              <w:spacing w:before="40" w:after="40" w:line="252" w:lineRule="auto"/>
              <w:jc w:val="left"/>
            </w:pPr>
            <w:r>
              <w:rPr>
                <w:rFonts w:ascii="Times New Roman" w:hAnsi="Times New Roman"/>
                <w:sz w:val="18"/>
              </w:rPr>
              <w:t>Float (Continuous)</w:t>
            </w:r>
          </w:p>
        </w:tc>
        <w:tc>
          <w:tcPr>
            <w:tcW w:type="dxa" w:w="1584"/>
            <w:shd w:fill="FAFAFA"/>
          </w:tcPr>
          <w:p>
            <w:pPr>
              <w:spacing w:before="40" w:after="40" w:line="252" w:lineRule="auto"/>
              <w:jc w:val="left"/>
            </w:pPr>
            <w:r>
              <w:rPr>
                <w:rFonts w:ascii="Times New Roman" w:hAnsi="Times New Roman"/>
                <w:sz w:val="18"/>
              </w:rPr>
              <w:t>94.0 to 16,250.0 mmBtu/hr</w:t>
            </w:r>
          </w:p>
        </w:tc>
        <w:tc>
          <w:tcPr>
            <w:tcW w:type="dxa" w:w="1728"/>
            <w:shd w:fill="FAFAFA"/>
          </w:tcPr>
          <w:p>
            <w:pPr>
              <w:spacing w:before="40" w:after="40" w:line="252" w:lineRule="auto"/>
              <w:jc w:val="left"/>
            </w:pPr>
            <w:r>
              <w:rPr>
                <w:rFonts w:ascii="Times New Roman" w:hAnsi="Times New Roman"/>
                <w:sz w:val="18"/>
              </w:rPr>
              <w:t>44 missing (Imputed via Capacity ratio)</w:t>
            </w:r>
          </w:p>
        </w:tc>
        <w:tc>
          <w:tcPr>
            <w:tcW w:type="dxa" w:w="1872"/>
            <w:shd w:fill="FAFAFA"/>
          </w:tcPr>
          <w:p>
            <w:pPr>
              <w:spacing w:before="40" w:after="40" w:line="252" w:lineRule="auto"/>
              <w:jc w:val="left"/>
            </w:pPr>
            <w:r>
              <w:rPr>
                <w:rFonts w:ascii="Times New Roman" w:hAnsi="Times New Roman"/>
                <w:sz w:val="18"/>
              </w:rPr>
              <w:t>Primary metric of operational combustion intensity.</w:t>
            </w:r>
          </w:p>
        </w:tc>
      </w:tr>
      <w:tr>
        <w:tc>
          <w:tcPr>
            <w:tcW w:type="dxa" w:w="1584"/>
          </w:tcPr>
          <w:p>
            <w:pPr>
              <w:spacing w:before="40" w:after="40" w:line="252" w:lineRule="auto"/>
              <w:jc w:val="left"/>
            </w:pPr>
            <w:r>
              <w:rPr>
                <w:rFonts w:ascii="Times New Roman" w:hAnsi="Times New Roman"/>
                <w:sz w:val="18"/>
              </w:rPr>
              <w:t>Commercial Operation Date</w:t>
            </w:r>
          </w:p>
        </w:tc>
        <w:tc>
          <w:tcPr>
            <w:tcW w:type="dxa" w:w="2016"/>
          </w:tcPr>
          <w:p>
            <w:pPr>
              <w:spacing w:before="40" w:after="40" w:line="252" w:lineRule="auto"/>
              <w:jc w:val="left"/>
            </w:pPr>
            <w:r>
              <w:rPr>
                <w:rFonts w:ascii="Times New Roman" w:hAnsi="Times New Roman"/>
                <w:sz w:val="18"/>
              </w:rPr>
              <w:t>Date the unit commenced commercial generation</w:t>
            </w:r>
          </w:p>
        </w:tc>
        <w:tc>
          <w:tcPr>
            <w:tcW w:type="dxa" w:w="1296"/>
          </w:tcPr>
          <w:p>
            <w:pPr>
              <w:spacing w:before="40" w:after="40" w:line="252" w:lineRule="auto"/>
              <w:jc w:val="left"/>
            </w:pPr>
            <w:r>
              <w:rPr>
                <w:rFonts w:ascii="Times New Roman" w:hAnsi="Times New Roman"/>
                <w:sz w:val="18"/>
              </w:rPr>
              <w:t>Date / String</w:t>
            </w:r>
          </w:p>
        </w:tc>
        <w:tc>
          <w:tcPr>
            <w:tcW w:type="dxa" w:w="1584"/>
          </w:tcPr>
          <w:p>
            <w:pPr>
              <w:spacing w:before="40" w:after="40" w:line="252" w:lineRule="auto"/>
              <w:jc w:val="left"/>
            </w:pPr>
            <w:r>
              <w:rPr>
                <w:rFonts w:ascii="Times New Roman" w:hAnsi="Times New Roman"/>
                <w:sz w:val="18"/>
              </w:rPr>
              <w:t>1/1/1930 to 11/23/2025</w:t>
            </w:r>
          </w:p>
        </w:tc>
        <w:tc>
          <w:tcPr>
            <w:tcW w:type="dxa" w:w="1728"/>
          </w:tcPr>
          <w:p>
            <w:pPr>
              <w:spacing w:before="40" w:after="40" w:line="252" w:lineRule="auto"/>
              <w:jc w:val="left"/>
            </w:pPr>
            <w:r>
              <w:rPr>
                <w:rFonts w:ascii="Times New Roman" w:hAnsi="Times New Roman"/>
                <w:sz w:val="18"/>
              </w:rPr>
              <w:t>36 missing (Imputed via unit-type median)</w:t>
            </w:r>
          </w:p>
        </w:tc>
        <w:tc>
          <w:tcPr>
            <w:tcW w:type="dxa" w:w="1872"/>
          </w:tcPr>
          <w:p>
            <w:pPr>
              <w:spacing w:before="40" w:after="40" w:line="252" w:lineRule="auto"/>
              <w:jc w:val="left"/>
            </w:pPr>
            <w:r>
              <w:rPr>
                <w:rFonts w:ascii="Times New Roman" w:hAnsi="Times New Roman"/>
                <w:sz w:val="18"/>
              </w:rPr>
              <w:t>Converted to Unit_Age = 2025 - Year.</w:t>
            </w:r>
          </w:p>
        </w:tc>
      </w:tr>
      <w:tr>
        <w:tc>
          <w:tcPr>
            <w:tcW w:type="dxa" w:w="1584"/>
            <w:shd w:fill="FAFAFA"/>
          </w:tcPr>
          <w:p>
            <w:pPr>
              <w:spacing w:before="40" w:after="40" w:line="252" w:lineRule="auto"/>
              <w:jc w:val="left"/>
            </w:pPr>
            <w:r>
              <w:rPr>
                <w:rFonts w:ascii="Times New Roman" w:hAnsi="Times New Roman"/>
                <w:sz w:val="18"/>
              </w:rPr>
              <w:t>Operating Status</w:t>
            </w:r>
          </w:p>
        </w:tc>
        <w:tc>
          <w:tcPr>
            <w:tcW w:type="dxa" w:w="2016"/>
            <w:shd w:fill="FAFAFA"/>
          </w:tcPr>
          <w:p>
            <w:pPr>
              <w:spacing w:before="40" w:after="40" w:line="252" w:lineRule="auto"/>
              <w:jc w:val="left"/>
            </w:pPr>
            <w:r>
              <w:rPr>
                <w:rFonts w:ascii="Times New Roman" w:hAnsi="Times New Roman"/>
                <w:sz w:val="18"/>
              </w:rPr>
              <w:t>Current operational status in 2025</w:t>
            </w:r>
          </w:p>
        </w:tc>
        <w:tc>
          <w:tcPr>
            <w:tcW w:type="dxa" w:w="1296"/>
            <w:shd w:fill="FAFAFA"/>
          </w:tcPr>
          <w:p>
            <w:pPr>
              <w:spacing w:before="40" w:after="40" w:line="252" w:lineRule="auto"/>
              <w:jc w:val="left"/>
            </w:pPr>
            <w:r>
              <w:rPr>
                <w:rFonts w:ascii="Times New Roman" w:hAnsi="Times New Roman"/>
                <w:sz w:val="18"/>
              </w:rPr>
              <w:t>String (Categorical)</w:t>
            </w:r>
          </w:p>
        </w:tc>
        <w:tc>
          <w:tcPr>
            <w:tcW w:type="dxa" w:w="1584"/>
            <w:shd w:fill="FAFAFA"/>
          </w:tcPr>
          <w:p>
            <w:pPr>
              <w:spacing w:before="40" w:after="40" w:line="252" w:lineRule="auto"/>
              <w:jc w:val="left"/>
            </w:pPr>
            <w:r>
              <w:rPr>
                <w:rFonts w:ascii="Times New Roman" w:hAnsi="Times New Roman"/>
                <w:sz w:val="18"/>
              </w:rPr>
              <w:t>Operating, Retired, Future</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Recoded into binary Is_Operating flag.</w:t>
            </w:r>
          </w:p>
        </w:tc>
      </w:tr>
      <w:tr>
        <w:tc>
          <w:tcPr>
            <w:tcW w:type="dxa" w:w="1584"/>
          </w:tcPr>
          <w:p>
            <w:pPr>
              <w:spacing w:before="40" w:after="40" w:line="252" w:lineRule="auto"/>
              <w:jc w:val="left"/>
            </w:pPr>
            <w:r>
              <w:rPr>
                <w:rFonts w:ascii="Times New Roman" w:hAnsi="Times New Roman"/>
                <w:sz w:val="18"/>
              </w:rPr>
              <w:t>SO2 Controls</w:t>
            </w:r>
          </w:p>
        </w:tc>
        <w:tc>
          <w:tcPr>
            <w:tcW w:type="dxa" w:w="2016"/>
          </w:tcPr>
          <w:p>
            <w:pPr>
              <w:spacing w:before="40" w:after="40" w:line="252" w:lineRule="auto"/>
              <w:jc w:val="left"/>
            </w:pPr>
            <w:r>
              <w:rPr>
                <w:rFonts w:ascii="Times New Roman" w:hAnsi="Times New Roman"/>
                <w:sz w:val="18"/>
              </w:rPr>
              <w:t>Installed sulfur dioxide abatement systems</w:t>
            </w:r>
          </w:p>
        </w:tc>
        <w:tc>
          <w:tcPr>
            <w:tcW w:type="dxa" w:w="1296"/>
          </w:tcPr>
          <w:p>
            <w:pPr>
              <w:spacing w:before="40" w:after="40" w:line="252" w:lineRule="auto"/>
              <w:jc w:val="left"/>
            </w:pPr>
            <w:r>
              <w:rPr>
                <w:rFonts w:ascii="Times New Roman" w:hAnsi="Times New Roman"/>
                <w:sz w:val="18"/>
              </w:rPr>
              <w:t>String (Multi-valued)</w:t>
            </w:r>
          </w:p>
        </w:tc>
        <w:tc>
          <w:tcPr>
            <w:tcW w:type="dxa" w:w="1584"/>
          </w:tcPr>
          <w:p>
            <w:pPr>
              <w:spacing w:before="40" w:after="40" w:line="252" w:lineRule="auto"/>
              <w:jc w:val="left"/>
            </w:pPr>
            <w:r>
              <w:rPr>
                <w:rFonts w:ascii="Times New Roman" w:hAnsi="Times New Roman"/>
                <w:sz w:val="18"/>
              </w:rPr>
              <w:t>Wet Limestone, Dry FGD, etc.</w:t>
            </w:r>
          </w:p>
        </w:tc>
        <w:tc>
          <w:tcPr>
            <w:tcW w:type="dxa" w:w="1728"/>
          </w:tcPr>
          <w:p>
            <w:pPr>
              <w:spacing w:before="40" w:after="40" w:line="252" w:lineRule="auto"/>
              <w:jc w:val="left"/>
            </w:pPr>
            <w:r>
              <w:rPr>
                <w:rFonts w:ascii="Times New Roman" w:hAnsi="Times New Roman"/>
                <w:sz w:val="18"/>
              </w:rPr>
              <w:t>3,678 missing (Interpreted as Uncontrolled)</w:t>
            </w:r>
          </w:p>
        </w:tc>
        <w:tc>
          <w:tcPr>
            <w:tcW w:type="dxa" w:w="1872"/>
          </w:tcPr>
          <w:p>
            <w:pPr>
              <w:spacing w:before="40" w:after="40" w:line="252" w:lineRule="auto"/>
              <w:jc w:val="left"/>
            </w:pPr>
            <w:r>
              <w:rPr>
                <w:rFonts w:ascii="Times New Roman" w:hAnsi="Times New Roman"/>
                <w:sz w:val="18"/>
              </w:rPr>
              <w:t>Recoded to binary flag Has_SO2_Control.</w:t>
            </w:r>
          </w:p>
        </w:tc>
      </w:tr>
      <w:tr>
        <w:tc>
          <w:tcPr>
            <w:tcW w:type="dxa" w:w="1584"/>
            <w:shd w:fill="FAFAFA"/>
          </w:tcPr>
          <w:p>
            <w:pPr>
              <w:spacing w:before="40" w:after="40" w:line="252" w:lineRule="auto"/>
              <w:jc w:val="left"/>
            </w:pPr>
            <w:r>
              <w:rPr>
                <w:rFonts w:ascii="Times New Roman" w:hAnsi="Times New Roman"/>
                <w:sz w:val="18"/>
              </w:rPr>
              <w:t>NOx Controls</w:t>
            </w:r>
          </w:p>
        </w:tc>
        <w:tc>
          <w:tcPr>
            <w:tcW w:type="dxa" w:w="2016"/>
            <w:shd w:fill="FAFAFA"/>
          </w:tcPr>
          <w:p>
            <w:pPr>
              <w:spacing w:before="40" w:after="40" w:line="252" w:lineRule="auto"/>
              <w:jc w:val="left"/>
            </w:pPr>
            <w:r>
              <w:rPr>
                <w:rFonts w:ascii="Times New Roman" w:hAnsi="Times New Roman"/>
                <w:sz w:val="18"/>
              </w:rPr>
              <w:t>Installed nitrogen oxide abatement systems</w:t>
            </w:r>
          </w:p>
        </w:tc>
        <w:tc>
          <w:tcPr>
            <w:tcW w:type="dxa" w:w="1296"/>
            <w:shd w:fill="FAFAFA"/>
          </w:tcPr>
          <w:p>
            <w:pPr>
              <w:spacing w:before="40" w:after="40" w:line="252" w:lineRule="auto"/>
              <w:jc w:val="left"/>
            </w:pPr>
            <w:r>
              <w:rPr>
                <w:rFonts w:ascii="Times New Roman" w:hAnsi="Times New Roman"/>
                <w:sz w:val="18"/>
              </w:rPr>
              <w:t>String (Multi-valued)</w:t>
            </w:r>
          </w:p>
        </w:tc>
        <w:tc>
          <w:tcPr>
            <w:tcW w:type="dxa" w:w="1584"/>
            <w:shd w:fill="FAFAFA"/>
          </w:tcPr>
          <w:p>
            <w:pPr>
              <w:spacing w:before="40" w:after="40" w:line="252" w:lineRule="auto"/>
              <w:jc w:val="left"/>
            </w:pPr>
            <w:r>
              <w:rPr>
                <w:rFonts w:ascii="Times New Roman" w:hAnsi="Times New Roman"/>
                <w:sz w:val="18"/>
              </w:rPr>
              <w:t>Low NOx Burners, SCR, SNCR</w:t>
            </w:r>
          </w:p>
        </w:tc>
        <w:tc>
          <w:tcPr>
            <w:tcW w:type="dxa" w:w="1728"/>
            <w:shd w:fill="FAFAFA"/>
          </w:tcPr>
          <w:p>
            <w:pPr>
              <w:spacing w:before="40" w:after="40" w:line="252" w:lineRule="auto"/>
              <w:jc w:val="left"/>
            </w:pPr>
            <w:r>
              <w:rPr>
                <w:rFonts w:ascii="Times New Roman" w:hAnsi="Times New Roman"/>
                <w:sz w:val="18"/>
              </w:rPr>
              <w:t>596 missing (Interpreted as Uncontrolled)</w:t>
            </w:r>
          </w:p>
        </w:tc>
        <w:tc>
          <w:tcPr>
            <w:tcW w:type="dxa" w:w="1872"/>
            <w:shd w:fill="FAFAFA"/>
          </w:tcPr>
          <w:p>
            <w:pPr>
              <w:spacing w:before="40" w:after="40" w:line="252" w:lineRule="auto"/>
              <w:jc w:val="left"/>
            </w:pPr>
            <w:r>
              <w:rPr>
                <w:rFonts w:ascii="Times New Roman" w:hAnsi="Times New Roman"/>
                <w:sz w:val="18"/>
              </w:rPr>
              <w:t>Recoded to binary flag Has_NOx_Control.</w:t>
            </w:r>
          </w:p>
        </w:tc>
      </w:tr>
      <w:tr>
        <w:tc>
          <w:tcPr>
            <w:tcW w:type="dxa" w:w="1584"/>
          </w:tcPr>
          <w:p>
            <w:pPr>
              <w:spacing w:before="40" w:after="40" w:line="252" w:lineRule="auto"/>
              <w:jc w:val="left"/>
            </w:pPr>
            <w:r>
              <w:rPr>
                <w:rFonts w:ascii="Times New Roman" w:hAnsi="Times New Roman"/>
                <w:sz w:val="18"/>
              </w:rPr>
              <w:t>PM Controls</w:t>
            </w:r>
          </w:p>
        </w:tc>
        <w:tc>
          <w:tcPr>
            <w:tcW w:type="dxa" w:w="2016"/>
          </w:tcPr>
          <w:p>
            <w:pPr>
              <w:spacing w:before="40" w:after="40" w:line="252" w:lineRule="auto"/>
              <w:jc w:val="left"/>
            </w:pPr>
            <w:r>
              <w:rPr>
                <w:rFonts w:ascii="Times New Roman" w:hAnsi="Times New Roman"/>
                <w:sz w:val="18"/>
              </w:rPr>
              <w:t>Installed particulate matter abatement equipment</w:t>
            </w:r>
          </w:p>
        </w:tc>
        <w:tc>
          <w:tcPr>
            <w:tcW w:type="dxa" w:w="1296"/>
          </w:tcPr>
          <w:p>
            <w:pPr>
              <w:spacing w:before="40" w:after="40" w:line="252" w:lineRule="auto"/>
              <w:jc w:val="left"/>
            </w:pPr>
            <w:r>
              <w:rPr>
                <w:rFonts w:ascii="Times New Roman" w:hAnsi="Times New Roman"/>
                <w:sz w:val="18"/>
              </w:rPr>
              <w:t>String (Multi-valued)</w:t>
            </w:r>
          </w:p>
        </w:tc>
        <w:tc>
          <w:tcPr>
            <w:tcW w:type="dxa" w:w="1584"/>
          </w:tcPr>
          <w:p>
            <w:pPr>
              <w:spacing w:before="40" w:after="40" w:line="252" w:lineRule="auto"/>
              <w:jc w:val="left"/>
            </w:pPr>
            <w:r>
              <w:rPr>
                <w:rFonts w:ascii="Times New Roman" w:hAnsi="Times New Roman"/>
                <w:sz w:val="18"/>
              </w:rPr>
              <w:t>Electrostatic Precipitator, Baghouse</w:t>
            </w:r>
          </w:p>
        </w:tc>
        <w:tc>
          <w:tcPr>
            <w:tcW w:type="dxa" w:w="1728"/>
          </w:tcPr>
          <w:p>
            <w:pPr>
              <w:spacing w:before="40" w:after="40" w:line="252" w:lineRule="auto"/>
              <w:jc w:val="left"/>
            </w:pPr>
            <w:r>
              <w:rPr>
                <w:rFonts w:ascii="Times New Roman" w:hAnsi="Times New Roman"/>
                <w:sz w:val="18"/>
              </w:rPr>
              <w:t>3,540 missing (Interpreted as Uncontrolled)</w:t>
            </w:r>
          </w:p>
        </w:tc>
        <w:tc>
          <w:tcPr>
            <w:tcW w:type="dxa" w:w="1872"/>
          </w:tcPr>
          <w:p>
            <w:pPr>
              <w:spacing w:before="40" w:after="40" w:line="252" w:lineRule="auto"/>
              <w:jc w:val="left"/>
            </w:pPr>
            <w:r>
              <w:rPr>
                <w:rFonts w:ascii="Times New Roman" w:hAnsi="Times New Roman"/>
                <w:sz w:val="18"/>
              </w:rPr>
              <w:t>Recoded to binary flag Has_PM_Control.</w:t>
            </w:r>
          </w:p>
        </w:tc>
      </w:tr>
      <w:tr>
        <w:tc>
          <w:tcPr>
            <w:tcW w:type="dxa" w:w="1584"/>
            <w:shd w:fill="FAFAFA"/>
          </w:tcPr>
          <w:p>
            <w:pPr>
              <w:spacing w:before="40" w:after="40" w:line="252" w:lineRule="auto"/>
              <w:jc w:val="left"/>
            </w:pPr>
            <w:r>
              <w:rPr>
                <w:rFonts w:ascii="Times New Roman" w:hAnsi="Times New Roman"/>
                <w:sz w:val="18"/>
              </w:rPr>
              <w:t>Hg Controls</w:t>
            </w:r>
          </w:p>
        </w:tc>
        <w:tc>
          <w:tcPr>
            <w:tcW w:type="dxa" w:w="2016"/>
            <w:shd w:fill="FAFAFA"/>
          </w:tcPr>
          <w:p>
            <w:pPr>
              <w:spacing w:before="40" w:after="40" w:line="252" w:lineRule="auto"/>
              <w:jc w:val="left"/>
            </w:pPr>
            <w:r>
              <w:rPr>
                <w:rFonts w:ascii="Times New Roman" w:hAnsi="Times New Roman"/>
                <w:sz w:val="18"/>
              </w:rPr>
              <w:t>Installed mercury abatement technologies</w:t>
            </w:r>
          </w:p>
        </w:tc>
        <w:tc>
          <w:tcPr>
            <w:tcW w:type="dxa" w:w="1296"/>
            <w:shd w:fill="FAFAFA"/>
          </w:tcPr>
          <w:p>
            <w:pPr>
              <w:spacing w:before="40" w:after="40" w:line="252" w:lineRule="auto"/>
              <w:jc w:val="left"/>
            </w:pPr>
            <w:r>
              <w:rPr>
                <w:rFonts w:ascii="Times New Roman" w:hAnsi="Times New Roman"/>
                <w:sz w:val="18"/>
              </w:rPr>
              <w:t>String (Multi-valued)</w:t>
            </w:r>
          </w:p>
        </w:tc>
        <w:tc>
          <w:tcPr>
            <w:tcW w:type="dxa" w:w="1584"/>
            <w:shd w:fill="FAFAFA"/>
          </w:tcPr>
          <w:p>
            <w:pPr>
              <w:spacing w:before="40" w:after="40" w:line="252" w:lineRule="auto"/>
              <w:jc w:val="left"/>
            </w:pPr>
            <w:r>
              <w:rPr>
                <w:rFonts w:ascii="Times New Roman" w:hAnsi="Times New Roman"/>
                <w:sz w:val="18"/>
              </w:rPr>
              <w:t>Activated Carbon Injection, etc.</w:t>
            </w:r>
          </w:p>
        </w:tc>
        <w:tc>
          <w:tcPr>
            <w:tcW w:type="dxa" w:w="1728"/>
            <w:shd w:fill="FAFAFA"/>
          </w:tcPr>
          <w:p>
            <w:pPr>
              <w:spacing w:before="40" w:after="40" w:line="252" w:lineRule="auto"/>
              <w:jc w:val="left"/>
            </w:pPr>
            <w:r>
              <w:rPr>
                <w:rFonts w:ascii="Times New Roman" w:hAnsi="Times New Roman"/>
                <w:sz w:val="18"/>
              </w:rPr>
              <w:t>3,877 missing (Interpreted as Uncontrolled)</w:t>
            </w:r>
          </w:p>
        </w:tc>
        <w:tc>
          <w:tcPr>
            <w:tcW w:type="dxa" w:w="1872"/>
            <w:shd w:fill="FAFAFA"/>
          </w:tcPr>
          <w:p>
            <w:pPr>
              <w:spacing w:before="40" w:after="40" w:line="252" w:lineRule="auto"/>
              <w:jc w:val="left"/>
            </w:pPr>
            <w:r>
              <w:rPr>
                <w:rFonts w:ascii="Times New Roman" w:hAnsi="Times New Roman"/>
                <w:sz w:val="18"/>
              </w:rPr>
              <w:t>Recoded to binary flag Has_Hg_Control.</w:t>
            </w:r>
          </w:p>
        </w:tc>
      </w:tr>
      <w:tr>
        <w:tc>
          <w:tcPr>
            <w:tcW w:type="dxa" w:w="1584"/>
          </w:tcPr>
          <w:p>
            <w:pPr>
              <w:spacing w:before="40" w:after="40" w:line="252" w:lineRule="auto"/>
              <w:jc w:val="left"/>
            </w:pPr>
            <w:r>
              <w:rPr>
                <w:rFonts w:ascii="Times New Roman" w:hAnsi="Times New Roman"/>
                <w:sz w:val="18"/>
              </w:rPr>
              <w:t>Capacity_MW</w:t>
            </w:r>
          </w:p>
        </w:tc>
        <w:tc>
          <w:tcPr>
            <w:tcW w:type="dxa" w:w="2016"/>
          </w:tcPr>
          <w:p>
            <w:pPr>
              <w:spacing w:before="40" w:after="40" w:line="252" w:lineRule="auto"/>
              <w:jc w:val="left"/>
            </w:pPr>
            <w:r>
              <w:rPr>
                <w:rFonts w:ascii="Times New Roman" w:hAnsi="Times New Roman"/>
                <w:sz w:val="18"/>
              </w:rPr>
              <w:t>Engineered total installed generation capacity</w:t>
            </w:r>
          </w:p>
        </w:tc>
        <w:tc>
          <w:tcPr>
            <w:tcW w:type="dxa" w:w="1296"/>
          </w:tcPr>
          <w:p>
            <w:pPr>
              <w:spacing w:before="40" w:after="40" w:line="252" w:lineRule="auto"/>
              <w:jc w:val="left"/>
            </w:pPr>
            <w:r>
              <w:rPr>
                <w:rFonts w:ascii="Times New Roman" w:hAnsi="Times New Roman"/>
                <w:sz w:val="18"/>
              </w:rPr>
              <w:t>Float (Continuous)</w:t>
            </w:r>
          </w:p>
        </w:tc>
        <w:tc>
          <w:tcPr>
            <w:tcW w:type="dxa" w:w="1584"/>
          </w:tcPr>
          <w:p>
            <w:pPr>
              <w:spacing w:before="40" w:after="40" w:line="252" w:lineRule="auto"/>
              <w:jc w:val="left"/>
            </w:pPr>
            <w:r>
              <w:rPr>
                <w:rFonts w:ascii="Times New Roman" w:hAnsi="Times New Roman"/>
                <w:sz w:val="18"/>
              </w:rPr>
              <w:t>5.0 to 1,300.0 MWe</w:t>
            </w:r>
          </w:p>
        </w:tc>
        <w:tc>
          <w:tcPr>
            <w:tcW w:type="dxa" w:w="1728"/>
          </w:tcPr>
          <w:p>
            <w:pPr>
              <w:spacing w:before="40" w:after="40" w:line="252" w:lineRule="auto"/>
              <w:jc w:val="left"/>
            </w:pPr>
            <w:r>
              <w:rPr>
                <w:rFonts w:ascii="Times New Roman" w:hAnsi="Times New Roman"/>
                <w:sz w:val="18"/>
              </w:rPr>
              <w:t>Engineered from regex parsing</w:t>
            </w:r>
          </w:p>
        </w:tc>
        <w:tc>
          <w:tcPr>
            <w:tcW w:type="dxa" w:w="1872"/>
          </w:tcPr>
          <w:p>
            <w:pPr>
              <w:spacing w:before="40" w:after="40" w:line="252" w:lineRule="auto"/>
              <w:jc w:val="left"/>
            </w:pPr>
            <w:r>
              <w:rPr>
                <w:rFonts w:ascii="Times New Roman" w:hAnsi="Times New Roman"/>
                <w:sz w:val="18"/>
              </w:rPr>
              <w:t>Key predictor in RQ2 and covariate in RQ3.</w:t>
            </w:r>
          </w:p>
        </w:tc>
      </w:tr>
      <w:tr>
        <w:tc>
          <w:tcPr>
            <w:tcW w:type="dxa" w:w="1584"/>
            <w:shd w:fill="FAFAFA"/>
          </w:tcPr>
          <w:p>
            <w:pPr>
              <w:spacing w:before="40" w:after="40" w:line="252" w:lineRule="auto"/>
              <w:jc w:val="left"/>
            </w:pPr>
            <w:r>
              <w:rPr>
                <w:rFonts w:ascii="Times New Roman" w:hAnsi="Times New Roman"/>
                <w:sz w:val="18"/>
              </w:rPr>
              <w:t>Unit_Age</w:t>
            </w:r>
          </w:p>
        </w:tc>
        <w:tc>
          <w:tcPr>
            <w:tcW w:type="dxa" w:w="2016"/>
            <w:shd w:fill="FAFAFA"/>
          </w:tcPr>
          <w:p>
            <w:pPr>
              <w:spacing w:before="40" w:after="40" w:line="252" w:lineRule="auto"/>
              <w:jc w:val="left"/>
            </w:pPr>
            <w:r>
              <w:rPr>
                <w:rFonts w:ascii="Times New Roman" w:hAnsi="Times New Roman"/>
                <w:sz w:val="18"/>
              </w:rPr>
              <w:t>Engineered unit operating vintage in years</w:t>
            </w:r>
          </w:p>
        </w:tc>
        <w:tc>
          <w:tcPr>
            <w:tcW w:type="dxa" w:w="1296"/>
            <w:shd w:fill="FAFAFA"/>
          </w:tcPr>
          <w:p>
            <w:pPr>
              <w:spacing w:before="40" w:after="40" w:line="252" w:lineRule="auto"/>
              <w:jc w:val="left"/>
            </w:pPr>
            <w:r>
              <w:rPr>
                <w:rFonts w:ascii="Times New Roman" w:hAnsi="Times New Roman"/>
                <w:sz w:val="18"/>
              </w:rPr>
              <w:t>Float (Continuous)</w:t>
            </w:r>
          </w:p>
        </w:tc>
        <w:tc>
          <w:tcPr>
            <w:tcW w:type="dxa" w:w="1584"/>
            <w:shd w:fill="FAFAFA"/>
          </w:tcPr>
          <w:p>
            <w:pPr>
              <w:spacing w:before="40" w:after="40" w:line="252" w:lineRule="auto"/>
              <w:jc w:val="left"/>
            </w:pPr>
            <w:r>
              <w:rPr>
                <w:rFonts w:ascii="Times New Roman" w:hAnsi="Times New Roman"/>
                <w:sz w:val="18"/>
              </w:rPr>
              <w:t>0.0 to 95.0 years</w:t>
            </w:r>
          </w:p>
        </w:tc>
        <w:tc>
          <w:tcPr>
            <w:tcW w:type="dxa" w:w="1728"/>
            <w:shd w:fill="FAFAFA"/>
          </w:tcPr>
          <w:p>
            <w:pPr>
              <w:spacing w:before="40" w:after="40" w:line="252" w:lineRule="auto"/>
              <w:jc w:val="left"/>
            </w:pPr>
            <w:r>
              <w:rPr>
                <w:rFonts w:ascii="Times New Roman" w:hAnsi="Times New Roman"/>
                <w:sz w:val="18"/>
              </w:rPr>
              <w:t>Engineered from commercial date</w:t>
            </w:r>
          </w:p>
        </w:tc>
        <w:tc>
          <w:tcPr>
            <w:tcW w:type="dxa" w:w="1872"/>
            <w:shd w:fill="FAFAFA"/>
          </w:tcPr>
          <w:p>
            <w:pPr>
              <w:spacing w:before="40" w:after="40" w:line="252" w:lineRule="auto"/>
              <w:jc w:val="left"/>
            </w:pPr>
            <w:r>
              <w:rPr>
                <w:rFonts w:ascii="Times New Roman" w:hAnsi="Times New Roman"/>
                <w:sz w:val="18"/>
              </w:rPr>
              <w:t>Primary independent variable for RQ3.</w:t>
            </w:r>
          </w:p>
        </w:tc>
      </w:tr>
      <w:tr>
        <w:tc>
          <w:tcPr>
            <w:tcW w:type="dxa" w:w="1584"/>
          </w:tcPr>
          <w:p>
            <w:pPr>
              <w:spacing w:before="40" w:after="40" w:line="252" w:lineRule="auto"/>
              <w:jc w:val="left"/>
            </w:pPr>
            <w:r>
              <w:rPr>
                <w:rFonts w:ascii="Times New Roman" w:hAnsi="Times New Roman"/>
                <w:sz w:val="18"/>
              </w:rPr>
              <w:t>Control_Count</w:t>
            </w:r>
          </w:p>
        </w:tc>
        <w:tc>
          <w:tcPr>
            <w:tcW w:type="dxa" w:w="2016"/>
          </w:tcPr>
          <w:p>
            <w:pPr>
              <w:spacing w:before="40" w:after="40" w:line="252" w:lineRule="auto"/>
              <w:jc w:val="left"/>
            </w:pPr>
            <w:r>
              <w:rPr>
                <w:rFonts w:ascii="Times New Roman" w:hAnsi="Times New Roman"/>
                <w:sz w:val="18"/>
              </w:rPr>
              <w:t>Total number of installed pollution abatement systems</w:t>
            </w:r>
          </w:p>
        </w:tc>
        <w:tc>
          <w:tcPr>
            <w:tcW w:type="dxa" w:w="1296"/>
          </w:tcPr>
          <w:p>
            <w:pPr>
              <w:spacing w:before="40" w:after="40" w:line="252" w:lineRule="auto"/>
              <w:jc w:val="left"/>
            </w:pPr>
            <w:r>
              <w:rPr>
                <w:rFonts w:ascii="Times New Roman" w:hAnsi="Times New Roman"/>
                <w:sz w:val="18"/>
              </w:rPr>
              <w:t>Integer (Discrete)</w:t>
            </w:r>
          </w:p>
        </w:tc>
        <w:tc>
          <w:tcPr>
            <w:tcW w:type="dxa" w:w="1584"/>
          </w:tcPr>
          <w:p>
            <w:pPr>
              <w:spacing w:before="40" w:after="40" w:line="252" w:lineRule="auto"/>
              <w:jc w:val="left"/>
            </w:pPr>
            <w:r>
              <w:rPr>
                <w:rFonts w:ascii="Times New Roman" w:hAnsi="Times New Roman"/>
                <w:sz w:val="18"/>
              </w:rPr>
              <w:t>0 to 4 installed systems</w:t>
            </w:r>
          </w:p>
        </w:tc>
        <w:tc>
          <w:tcPr>
            <w:tcW w:type="dxa" w:w="1728"/>
          </w:tcPr>
          <w:p>
            <w:pPr>
              <w:spacing w:before="40" w:after="40" w:line="252" w:lineRule="auto"/>
              <w:jc w:val="left"/>
            </w:pPr>
            <w:r>
              <w:rPr>
                <w:rFonts w:ascii="Times New Roman" w:hAnsi="Times New Roman"/>
                <w:sz w:val="18"/>
              </w:rPr>
              <w:t>Engineered sum of binary flags</w:t>
            </w:r>
          </w:p>
        </w:tc>
        <w:tc>
          <w:tcPr>
            <w:tcW w:type="dxa" w:w="1872"/>
          </w:tcPr>
          <w:p>
            <w:pPr>
              <w:spacing w:before="40" w:after="40" w:line="252" w:lineRule="auto"/>
              <w:jc w:val="left"/>
            </w:pPr>
            <w:r>
              <w:rPr>
                <w:rFonts w:ascii="Times New Roman" w:hAnsi="Times New Roman"/>
                <w:sz w:val="18"/>
              </w:rPr>
              <w:t>Captures overall environmental control investment.</w:t>
            </w:r>
          </w:p>
        </w:tc>
      </w:tr>
      <w:tr>
        <w:tc>
          <w:tcPr>
            <w:tcW w:type="dxa" w:w="1584"/>
            <w:shd w:fill="FAFAFA"/>
          </w:tcPr>
          <w:p>
            <w:pPr>
              <w:spacing w:before="40" w:after="40" w:line="252" w:lineRule="auto"/>
              <w:jc w:val="left"/>
            </w:pPr>
            <w:r>
              <w:rPr>
                <w:rFonts w:ascii="Times New Roman" w:hAnsi="Times New Roman"/>
                <w:sz w:val="18"/>
              </w:rPr>
              <w:t>High_Emitter</w:t>
            </w:r>
          </w:p>
        </w:tc>
        <w:tc>
          <w:tcPr>
            <w:tcW w:type="dxa" w:w="2016"/>
            <w:shd w:fill="FAFAFA"/>
          </w:tcPr>
          <w:p>
            <w:pPr>
              <w:spacing w:before="40" w:after="40" w:line="252" w:lineRule="auto"/>
              <w:jc w:val="left"/>
            </w:pPr>
            <w:r>
              <w:rPr>
                <w:rFonts w:ascii="Times New Roman" w:hAnsi="Times New Roman"/>
                <w:sz w:val="18"/>
              </w:rPr>
              <w:t>Binary indicator of top quartile heat input rate</w:t>
            </w:r>
          </w:p>
        </w:tc>
        <w:tc>
          <w:tcPr>
            <w:tcW w:type="dxa" w:w="1296"/>
            <w:shd w:fill="FAFAFA"/>
          </w:tcPr>
          <w:p>
            <w:pPr>
              <w:spacing w:before="40" w:after="40" w:line="252" w:lineRule="auto"/>
              <w:jc w:val="left"/>
            </w:pPr>
            <w:r>
              <w:rPr>
                <w:rFonts w:ascii="Times New Roman" w:hAnsi="Times New Roman"/>
                <w:sz w:val="18"/>
              </w:rPr>
              <w:t>Integer (Binary: 0, 1)</w:t>
            </w:r>
          </w:p>
        </w:tc>
        <w:tc>
          <w:tcPr>
            <w:tcW w:type="dxa" w:w="1584"/>
            <w:shd w:fill="FAFAFA"/>
          </w:tcPr>
          <w:p>
            <w:pPr>
              <w:spacing w:before="40" w:after="40" w:line="252" w:lineRule="auto"/>
              <w:jc w:val="left"/>
            </w:pPr>
            <w:r>
              <w:rPr>
                <w:rFonts w:ascii="Times New Roman" w:hAnsi="Times New Roman"/>
                <w:sz w:val="18"/>
              </w:rPr>
              <w:t>0 (Low/Med), 1 (High Emitter)</w:t>
            </w:r>
          </w:p>
        </w:tc>
        <w:tc>
          <w:tcPr>
            <w:tcW w:type="dxa" w:w="1728"/>
            <w:shd w:fill="FAFAFA"/>
          </w:tcPr>
          <w:p>
            <w:pPr>
              <w:spacing w:before="40" w:after="40" w:line="252" w:lineRule="auto"/>
              <w:jc w:val="left"/>
            </w:pPr>
            <w:r>
              <w:rPr>
                <w:rFonts w:ascii="Times New Roman" w:hAnsi="Times New Roman"/>
                <w:sz w:val="18"/>
              </w:rPr>
              <w:t>Engineered via 75th percentile cutoff</w:t>
            </w:r>
          </w:p>
        </w:tc>
        <w:tc>
          <w:tcPr>
            <w:tcW w:type="dxa" w:w="1872"/>
            <w:shd w:fill="FAFAFA"/>
          </w:tcPr>
          <w:p>
            <w:pPr>
              <w:spacing w:before="40" w:after="40" w:line="252" w:lineRule="auto"/>
              <w:jc w:val="left"/>
            </w:pPr>
            <w:r>
              <w:rPr>
                <w:rFonts w:ascii="Times New Roman" w:hAnsi="Times New Roman"/>
                <w:sz w:val="18"/>
              </w:rPr>
              <w:t>Supervised classification target for RQ2.</w:t>
            </w:r>
          </w:p>
        </w:tc>
      </w:tr>
    </w:tbl>
    <w:p>
      <w:pPr>
        <w:spacing w:before="60" w:after="240"/>
      </w:pPr>
      <w:r>
        <w:rPr>
          <w:rFonts w:ascii="Times New Roman" w:hAnsi="Times New Roman"/>
          <w:i/>
          <w:sz w:val="18"/>
        </w:rPr>
        <w:t xml:space="preserve">Note. </w:t>
      </w:r>
      <w:r>
        <w:rPr>
          <w:rFonts w:ascii="Times New Roman" w:hAnsi="Times New Roman"/>
          <w:sz w:val="18"/>
        </w:rPr>
        <w:t>Comprehensive data dictionary detailing raw CAMPD attributes and engineered analytical features.</w:t>
      </w:r>
    </w:p>
    <w:p>
      <w:pPr>
        <w:keepNext/>
        <w:spacing w:before="240" w:after="120"/>
        <w:jc w:val="left"/>
      </w:pPr>
      <w:r>
        <w:rPr>
          <w:rFonts w:ascii="Times New Roman" w:hAnsi="Times New Roman"/>
          <w:b/>
          <w:color w:val="19375F"/>
          <w:sz w:val="24"/>
        </w:rPr>
        <w:t>GitHub Data Availability Statement</w:t>
      </w:r>
    </w:p>
    <w:p>
      <w:pPr>
        <w:spacing w:after="120" w:line="276" w:lineRule="auto"/>
        <w:jc w:val="left"/>
      </w:pPr>
      <w:r>
        <w:rPr>
          <w:rFonts w:ascii="Times New Roman" w:hAnsi="Times New Roman"/>
          <w:i w:val="0"/>
          <w:sz w:val="22"/>
        </w:rPr>
        <w:t>In accordance with university capstone requirements, the complete raw and processed datasets and Python notebooks/scripts are permanently maintained and available in the GitHub repository under:</w:t>
      </w:r>
    </w:p>
    <w:p>
      <w:pPr>
        <w:spacing w:after="80" w:line="276" w:lineRule="auto"/>
        <w:jc w:val="left"/>
      </w:pPr>
      <w:r>
        <w:rPr>
          <w:rFonts w:ascii="Times New Roman" w:hAnsi="Times New Roman"/>
          <w:b/>
          <w:sz w:val="22"/>
        </w:rPr>
        <w:t xml:space="preserve">Raw data: </w:t>
      </w:r>
      <w:r>
        <w:rPr>
          <w:rFonts w:ascii="Times New Roman" w:hAnsi="Times New Roman"/>
          <w:i w:val="0"/>
          <w:sz w:val="22"/>
        </w:rPr>
        <w:t>https://github.com/djmsritai-tech/QM640-Data-Analytics-Capstone/blob/main/data/raw/facility-2025.csv</w:t>
      </w:r>
    </w:p>
    <w:p>
      <w:pPr>
        <w:spacing w:after="80" w:line="276" w:lineRule="auto"/>
        <w:jc w:val="left"/>
      </w:pPr>
      <w:r>
        <w:rPr>
          <w:rFonts w:ascii="Times New Roman" w:hAnsi="Times New Roman"/>
          <w:b/>
          <w:sz w:val="22"/>
        </w:rPr>
        <w:t xml:space="preserve">Processed/clean data: </w:t>
      </w:r>
      <w:r>
        <w:rPr>
          <w:rFonts w:ascii="Times New Roman" w:hAnsi="Times New Roman"/>
          <w:i w:val="0"/>
          <w:sz w:val="22"/>
        </w:rPr>
        <w:t>https://github.com/djmsritai-tech/QM640-Data-Analytics-Capstone/blob/main/data/processed/facility_clean_processed.csv</w:t>
      </w:r>
    </w:p>
    <w:p>
      <w:pPr>
        <w:spacing w:after="200" w:line="276" w:lineRule="auto"/>
        <w:jc w:val="left"/>
      </w:pPr>
      <w:r>
        <w:rPr>
          <w:rFonts w:ascii="Times New Roman" w:hAnsi="Times New Roman"/>
          <w:b/>
          <w:sz w:val="22"/>
        </w:rPr>
        <w:t xml:space="preserve">Code/notebooks: </w:t>
      </w:r>
      <w:r>
        <w:rPr>
          <w:rFonts w:ascii="Times New Roman" w:hAnsi="Times New Roman"/>
          <w:i w:val="0"/>
          <w:sz w:val="22"/>
        </w:rPr>
        <w:t>https://github.com/djmsritai-tech/QM640-Data-Analytics-Capstone/tree/main/scripts (and https://github.com/djmsritai-tech/QM640-Data-Analytics-Capstone/blob/main/QM640_Capstone_Analytics_Notebook_DhananjayVerma_0291493.ipynb)</w:t>
      </w:r>
    </w:p>
    <w:p>
      <w:pPr>
        <w:keepNext/>
        <w:spacing w:before="320" w:after="160"/>
        <w:jc w:val="center"/>
      </w:pPr>
      <w:r>
        <w:rPr>
          <w:rFonts w:ascii="Times New Roman" w:hAnsi="Times New Roman"/>
          <w:b/>
          <w:color w:val="0F2240"/>
          <w:sz w:val="28"/>
        </w:rPr>
        <w:t>4. Analysis &amp; Exploratory Results</w:t>
      </w:r>
    </w:p>
    <w:p>
      <w:pPr>
        <w:keepNext/>
        <w:spacing w:before="240" w:after="120"/>
        <w:jc w:val="left"/>
      </w:pPr>
      <w:r>
        <w:rPr>
          <w:rFonts w:ascii="Times New Roman" w:hAnsi="Times New Roman"/>
          <w:b/>
          <w:color w:val="19375F"/>
          <w:sz w:val="24"/>
        </w:rPr>
        <w:t>Data Cleaning and Preprocessing Log</w:t>
      </w:r>
    </w:p>
    <w:p>
      <w:pPr>
        <w:spacing w:after="120" w:line="276" w:lineRule="auto"/>
        <w:jc w:val="left"/>
      </w:pPr>
      <w:r>
        <w:rPr>
          <w:rFonts w:ascii="Times New Roman" w:hAnsi="Times New Roman"/>
          <w:i w:val="0"/>
          <w:sz w:val="22"/>
        </w:rPr>
        <w:t>Rigorous data cleaning and preprocessing protocols were instituted to resolve data quality anomalies, structural formatting irregularities, and missing values inherent in regulatory filings. Table 3 enumerates the complete data cleaning log, specifying the anomaly detected, variables impacted, detection methodology, corrective treatment applied, and theoretical rationale.</w:t>
      </w:r>
    </w:p>
    <w:p>
      <w:pPr>
        <w:keepNext/>
        <w:spacing w:before="240" w:after="40"/>
      </w:pPr>
      <w:r>
        <w:rPr>
          <w:rFonts w:ascii="Times New Roman" w:hAnsi="Times New Roman"/>
          <w:b/>
          <w:sz w:val="22"/>
        </w:rPr>
        <w:t>Table 3</w:t>
      </w:r>
    </w:p>
    <w:p>
      <w:pPr>
        <w:keepNext/>
        <w:spacing w:before="0" w:after="120"/>
      </w:pPr>
      <w:r>
        <w:rPr>
          <w:rFonts w:ascii="Times New Roman" w:hAnsi="Times New Roman"/>
          <w:i/>
          <w:sz w:val="22"/>
        </w:rPr>
        <w:t>Data Cleaning and Preprocessing Log</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Issue</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Variables Affected</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Detection Method</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Treatment Applied</w:t>
            </w:r>
          </w:p>
        </w:tc>
        <w:tc>
          <w:tcPr>
            <w:tcW w:type="dxa" w:w="2448"/>
            <w:tcBorders>
              <w:bottom w:val="single" w:sz="12" w:space="0" w:color="000000"/>
            </w:tcBorders>
            <w:shd w:fill="F4F6F8"/>
          </w:tcPr>
          <w:p>
            <w:pPr>
              <w:spacing w:before="60" w:after="60" w:line="240" w:lineRule="auto"/>
              <w:jc w:val="center"/>
            </w:pPr>
            <w:r>
              <w:rPr>
                <w:rFonts w:ascii="Times New Roman" w:hAnsi="Times New Roman"/>
                <w:b/>
                <w:sz w:val="19"/>
              </w:rPr>
              <w:t>Rationale</w:t>
            </w:r>
          </w:p>
        </w:tc>
      </w:tr>
      <w:tr>
        <w:tc>
          <w:tcPr>
            <w:tcW w:type="dxa" w:w="1872"/>
          </w:tcPr>
          <w:p>
            <w:pPr>
              <w:spacing w:before="40" w:after="40" w:line="252" w:lineRule="auto"/>
              <w:jc w:val="left"/>
            </w:pPr>
            <w:r>
              <w:rPr>
                <w:rFonts w:ascii="Times New Roman" w:hAnsi="Times New Roman"/>
                <w:sz w:val="18"/>
              </w:rPr>
              <w:t>Duplicate Records</w:t>
            </w:r>
          </w:p>
        </w:tc>
        <w:tc>
          <w:tcPr>
            <w:tcW w:type="dxa" w:w="2016"/>
          </w:tcPr>
          <w:p>
            <w:pPr>
              <w:spacing w:before="40" w:after="40" w:line="252" w:lineRule="auto"/>
              <w:jc w:val="left"/>
            </w:pPr>
            <w:r>
              <w:rPr>
                <w:rFonts w:ascii="Times New Roman" w:hAnsi="Times New Roman"/>
                <w:sz w:val="18"/>
              </w:rPr>
              <w:t>Facility ID + Unit ID</w:t>
            </w:r>
          </w:p>
        </w:tc>
        <w:tc>
          <w:tcPr>
            <w:tcW w:type="dxa" w:w="1728"/>
          </w:tcPr>
          <w:p>
            <w:pPr>
              <w:spacing w:before="40" w:after="40" w:line="252" w:lineRule="auto"/>
              <w:jc w:val="left"/>
            </w:pPr>
            <w:r>
              <w:rPr>
                <w:rFonts w:ascii="Times New Roman" w:hAnsi="Times New Roman"/>
                <w:sz w:val="18"/>
              </w:rPr>
              <w:t>Pandas duplicated() key check</w:t>
            </w:r>
          </w:p>
        </w:tc>
        <w:tc>
          <w:tcPr>
            <w:tcW w:type="dxa" w:w="2016"/>
          </w:tcPr>
          <w:p>
            <w:pPr>
              <w:spacing w:before="40" w:after="40" w:line="252" w:lineRule="auto"/>
              <w:jc w:val="left"/>
            </w:pPr>
            <w:r>
              <w:rPr>
                <w:rFonts w:ascii="Times New Roman" w:hAnsi="Times New Roman"/>
                <w:sz w:val="18"/>
              </w:rPr>
              <w:t>Verified 0 duplicate primary keys across 4,050 rows</w:t>
            </w:r>
          </w:p>
        </w:tc>
        <w:tc>
          <w:tcPr>
            <w:tcW w:type="dxa" w:w="2448"/>
          </w:tcPr>
          <w:p>
            <w:pPr>
              <w:spacing w:before="40" w:after="40" w:line="252" w:lineRule="auto"/>
              <w:jc w:val="left"/>
            </w:pPr>
            <w:r>
              <w:rPr>
                <w:rFonts w:ascii="Times New Roman" w:hAnsi="Times New Roman"/>
                <w:sz w:val="18"/>
              </w:rPr>
              <w:t>Ensures data integrity and prevents artificial sample inflation.</w:t>
            </w:r>
          </w:p>
        </w:tc>
      </w:tr>
      <w:tr>
        <w:tc>
          <w:tcPr>
            <w:tcW w:type="dxa" w:w="1872"/>
            <w:shd w:fill="FAFAFA"/>
          </w:tcPr>
          <w:p>
            <w:pPr>
              <w:spacing w:before="40" w:after="40" w:line="252" w:lineRule="auto"/>
              <w:jc w:val="left"/>
            </w:pPr>
            <w:r>
              <w:rPr>
                <w:rFonts w:ascii="Times New Roman" w:hAnsi="Times New Roman"/>
                <w:sz w:val="18"/>
              </w:rPr>
              <w:t>Missing Pollution Controls</w:t>
            </w:r>
          </w:p>
        </w:tc>
        <w:tc>
          <w:tcPr>
            <w:tcW w:type="dxa" w:w="2016"/>
            <w:shd w:fill="FAFAFA"/>
          </w:tcPr>
          <w:p>
            <w:pPr>
              <w:spacing w:before="40" w:after="40" w:line="252" w:lineRule="auto"/>
              <w:jc w:val="left"/>
            </w:pPr>
            <w:r>
              <w:rPr>
                <w:rFonts w:ascii="Times New Roman" w:hAnsi="Times New Roman"/>
                <w:sz w:val="18"/>
              </w:rPr>
              <w:t>SO2, NOx, PM, Hg Controls</w:t>
            </w:r>
          </w:p>
        </w:tc>
        <w:tc>
          <w:tcPr>
            <w:tcW w:type="dxa" w:w="1728"/>
            <w:shd w:fill="FAFAFA"/>
          </w:tcPr>
          <w:p>
            <w:pPr>
              <w:spacing w:before="40" w:after="40" w:line="252" w:lineRule="auto"/>
              <w:jc w:val="left"/>
            </w:pPr>
            <w:r>
              <w:rPr>
                <w:rFonts w:ascii="Times New Roman" w:hAnsi="Times New Roman"/>
                <w:sz w:val="18"/>
              </w:rPr>
              <w:t>isna().sum() check (596 to 3,877 missing)</w:t>
            </w:r>
          </w:p>
        </w:tc>
        <w:tc>
          <w:tcPr>
            <w:tcW w:type="dxa" w:w="2016"/>
            <w:shd w:fill="FAFAFA"/>
          </w:tcPr>
          <w:p>
            <w:pPr>
              <w:spacing w:before="40" w:after="40" w:line="252" w:lineRule="auto"/>
              <w:jc w:val="left"/>
            </w:pPr>
            <w:r>
              <w:rPr>
                <w:rFonts w:ascii="Times New Roman" w:hAnsi="Times New Roman"/>
                <w:sz w:val="18"/>
              </w:rPr>
              <w:t>Imputed as 'Uncontrolled' (0); encoded binary presence flags</w:t>
            </w:r>
          </w:p>
        </w:tc>
        <w:tc>
          <w:tcPr>
            <w:tcW w:type="dxa" w:w="2448"/>
            <w:shd w:fill="FAFAFA"/>
          </w:tcPr>
          <w:p>
            <w:pPr>
              <w:spacing w:before="40" w:after="40" w:line="252" w:lineRule="auto"/>
              <w:jc w:val="left"/>
            </w:pPr>
            <w:r>
              <w:rPr>
                <w:rFonts w:ascii="Times New Roman" w:hAnsi="Times New Roman"/>
                <w:sz w:val="18"/>
              </w:rPr>
              <w:t>In EPA CAMPD, missing control fields denote absence of dedicated abatement hardware.</w:t>
            </w:r>
          </w:p>
        </w:tc>
      </w:tr>
      <w:tr>
        <w:tc>
          <w:tcPr>
            <w:tcW w:type="dxa" w:w="1872"/>
          </w:tcPr>
          <w:p>
            <w:pPr>
              <w:spacing w:before="40" w:after="40" w:line="252" w:lineRule="auto"/>
              <w:jc w:val="left"/>
            </w:pPr>
            <w:r>
              <w:rPr>
                <w:rFonts w:ascii="Times New Roman" w:hAnsi="Times New Roman"/>
                <w:sz w:val="18"/>
              </w:rPr>
              <w:t>String-Formatted Capacity</w:t>
            </w:r>
          </w:p>
        </w:tc>
        <w:tc>
          <w:tcPr>
            <w:tcW w:type="dxa" w:w="2016"/>
          </w:tcPr>
          <w:p>
            <w:pPr>
              <w:spacing w:before="40" w:after="40" w:line="252" w:lineRule="auto"/>
              <w:jc w:val="left"/>
            </w:pPr>
            <w:r>
              <w:rPr>
                <w:rFonts w:ascii="Times New Roman" w:hAnsi="Times New Roman"/>
                <w:sz w:val="18"/>
              </w:rPr>
              <w:t>Associated Generators &amp; Nameplate Capacity</w:t>
            </w:r>
          </w:p>
        </w:tc>
        <w:tc>
          <w:tcPr>
            <w:tcW w:type="dxa" w:w="1728"/>
          </w:tcPr>
          <w:p>
            <w:pPr>
              <w:spacing w:before="40" w:after="40" w:line="252" w:lineRule="auto"/>
              <w:jc w:val="left"/>
            </w:pPr>
            <w:r>
              <w:rPr>
                <w:rFonts w:ascii="Times New Roman" w:hAnsi="Times New Roman"/>
                <w:sz w:val="18"/>
              </w:rPr>
              <w:t>Regex search for parenthetical MWe numbers</w:t>
            </w:r>
          </w:p>
        </w:tc>
        <w:tc>
          <w:tcPr>
            <w:tcW w:type="dxa" w:w="2016"/>
          </w:tcPr>
          <w:p>
            <w:pPr>
              <w:spacing w:before="40" w:after="40" w:line="252" w:lineRule="auto"/>
              <w:jc w:val="left"/>
            </w:pPr>
            <w:r>
              <w:rPr>
                <w:rFonts w:ascii="Times New Roman" w:hAnsi="Times New Roman"/>
                <w:sz w:val="18"/>
              </w:rPr>
              <w:t>Extracted numerical MWe values and summed multi-generator units</w:t>
            </w:r>
          </w:p>
        </w:tc>
        <w:tc>
          <w:tcPr>
            <w:tcW w:type="dxa" w:w="2448"/>
          </w:tcPr>
          <w:p>
            <w:pPr>
              <w:spacing w:before="40" w:after="40" w:line="252" w:lineRule="auto"/>
              <w:jc w:val="left"/>
            </w:pPr>
            <w:r>
              <w:rPr>
                <w:rFonts w:ascii="Times New Roman" w:hAnsi="Times New Roman"/>
                <w:sz w:val="18"/>
              </w:rPr>
              <w:t>Converts unstandardized text strings into continuous numerical capacity (Capacity_MW).</w:t>
            </w:r>
          </w:p>
        </w:tc>
      </w:tr>
      <w:tr>
        <w:tc>
          <w:tcPr>
            <w:tcW w:type="dxa" w:w="1872"/>
            <w:shd w:fill="FAFAFA"/>
          </w:tcPr>
          <w:p>
            <w:pPr>
              <w:spacing w:before="40" w:after="40" w:line="252" w:lineRule="auto"/>
              <w:jc w:val="left"/>
            </w:pPr>
            <w:r>
              <w:rPr>
                <w:rFonts w:ascii="Times New Roman" w:hAnsi="Times New Roman"/>
                <w:sz w:val="18"/>
              </w:rPr>
              <w:t>Missing Nameplate Capacity</w:t>
            </w:r>
          </w:p>
        </w:tc>
        <w:tc>
          <w:tcPr>
            <w:tcW w:type="dxa" w:w="2016"/>
            <w:shd w:fill="FAFAFA"/>
          </w:tcPr>
          <w:p>
            <w:pPr>
              <w:spacing w:before="40" w:after="40" w:line="252" w:lineRule="auto"/>
              <w:jc w:val="left"/>
            </w:pPr>
            <w:r>
              <w:rPr>
                <w:rFonts w:ascii="Times New Roman" w:hAnsi="Times New Roman"/>
                <w:sz w:val="18"/>
              </w:rPr>
              <w:t>Capacity_MW</w:t>
            </w:r>
          </w:p>
        </w:tc>
        <w:tc>
          <w:tcPr>
            <w:tcW w:type="dxa" w:w="1728"/>
            <w:shd w:fill="FAFAFA"/>
          </w:tcPr>
          <w:p>
            <w:pPr>
              <w:spacing w:before="40" w:after="40" w:line="252" w:lineRule="auto"/>
              <w:jc w:val="left"/>
            </w:pPr>
            <w:r>
              <w:rPr>
                <w:rFonts w:ascii="Times New Roman" w:hAnsi="Times New Roman"/>
                <w:sz w:val="18"/>
              </w:rPr>
              <w:t>150 missing values post-parsing (3.70%)</w:t>
            </w:r>
          </w:p>
        </w:tc>
        <w:tc>
          <w:tcPr>
            <w:tcW w:type="dxa" w:w="2016"/>
            <w:shd w:fill="FAFAFA"/>
          </w:tcPr>
          <w:p>
            <w:pPr>
              <w:spacing w:before="40" w:after="40" w:line="252" w:lineRule="auto"/>
              <w:jc w:val="left"/>
            </w:pPr>
            <w:r>
              <w:rPr>
                <w:rFonts w:ascii="Times New Roman" w:hAnsi="Times New Roman"/>
                <w:sz w:val="18"/>
              </w:rPr>
              <w:t>Imputed using median capacity grouped by Unit_Type_Category</w:t>
            </w:r>
          </w:p>
        </w:tc>
        <w:tc>
          <w:tcPr>
            <w:tcW w:type="dxa" w:w="2448"/>
            <w:shd w:fill="FAFAFA"/>
          </w:tcPr>
          <w:p>
            <w:pPr>
              <w:spacing w:before="40" w:after="40" w:line="252" w:lineRule="auto"/>
              <w:jc w:val="left"/>
            </w:pPr>
            <w:r>
              <w:rPr>
                <w:rFonts w:ascii="Times New Roman" w:hAnsi="Times New Roman"/>
                <w:sz w:val="18"/>
              </w:rPr>
              <w:t>Preserves sample size while avoiding bias from cross-technology capacity disparities.</w:t>
            </w:r>
          </w:p>
        </w:tc>
      </w:tr>
      <w:tr>
        <w:tc>
          <w:tcPr>
            <w:tcW w:type="dxa" w:w="1872"/>
          </w:tcPr>
          <w:p>
            <w:pPr>
              <w:spacing w:before="40" w:after="40" w:line="252" w:lineRule="auto"/>
              <w:jc w:val="left"/>
            </w:pPr>
            <w:r>
              <w:rPr>
                <w:rFonts w:ascii="Times New Roman" w:hAnsi="Times New Roman"/>
                <w:sz w:val="18"/>
              </w:rPr>
              <w:t>Commercial Date Formatting</w:t>
            </w:r>
          </w:p>
        </w:tc>
        <w:tc>
          <w:tcPr>
            <w:tcW w:type="dxa" w:w="2016"/>
          </w:tcPr>
          <w:p>
            <w:pPr>
              <w:spacing w:before="40" w:after="40" w:line="252" w:lineRule="auto"/>
              <w:jc w:val="left"/>
            </w:pPr>
            <w:r>
              <w:rPr>
                <w:rFonts w:ascii="Times New Roman" w:hAnsi="Times New Roman"/>
                <w:sz w:val="18"/>
              </w:rPr>
              <w:t>Commercial Operation Date</w:t>
            </w:r>
          </w:p>
        </w:tc>
        <w:tc>
          <w:tcPr>
            <w:tcW w:type="dxa" w:w="1728"/>
          </w:tcPr>
          <w:p>
            <w:pPr>
              <w:spacing w:before="40" w:after="40" w:line="252" w:lineRule="auto"/>
              <w:jc w:val="left"/>
            </w:pPr>
            <w:r>
              <w:rPr>
                <w:rFonts w:ascii="Times New Roman" w:hAnsi="Times New Roman"/>
                <w:sz w:val="18"/>
              </w:rPr>
              <w:t>pd.to_datetime() conversion check</w:t>
            </w:r>
          </w:p>
        </w:tc>
        <w:tc>
          <w:tcPr>
            <w:tcW w:type="dxa" w:w="2016"/>
          </w:tcPr>
          <w:p>
            <w:pPr>
              <w:spacing w:before="40" w:after="40" w:line="252" w:lineRule="auto"/>
              <w:jc w:val="left"/>
            </w:pPr>
            <w:r>
              <w:rPr>
                <w:rFonts w:ascii="Times New Roman" w:hAnsi="Times New Roman"/>
                <w:sz w:val="18"/>
              </w:rPr>
              <w:t>Converted valid dates; 36 missing imputed via unit-type median</w:t>
            </w:r>
          </w:p>
        </w:tc>
        <w:tc>
          <w:tcPr>
            <w:tcW w:type="dxa" w:w="2448"/>
          </w:tcPr>
          <w:p>
            <w:pPr>
              <w:spacing w:before="40" w:after="40" w:line="252" w:lineRule="auto"/>
              <w:jc w:val="left"/>
            </w:pPr>
            <w:r>
              <w:rPr>
                <w:rFonts w:ascii="Times New Roman" w:hAnsi="Times New Roman"/>
                <w:sz w:val="18"/>
              </w:rPr>
              <w:t>Enables exact calculation of continuous unit vintage: Unit_Age = 2025 - Year.</w:t>
            </w:r>
          </w:p>
        </w:tc>
      </w:tr>
      <w:tr>
        <w:tc>
          <w:tcPr>
            <w:tcW w:type="dxa" w:w="1872"/>
            <w:shd w:fill="FAFAFA"/>
          </w:tcPr>
          <w:p>
            <w:pPr>
              <w:spacing w:before="40" w:after="40" w:line="252" w:lineRule="auto"/>
              <w:jc w:val="left"/>
            </w:pPr>
            <w:r>
              <w:rPr>
                <w:rFonts w:ascii="Times New Roman" w:hAnsi="Times New Roman"/>
                <w:sz w:val="18"/>
              </w:rPr>
              <w:t>Missing Heat Input Rate</w:t>
            </w:r>
          </w:p>
        </w:tc>
        <w:tc>
          <w:tcPr>
            <w:tcW w:type="dxa" w:w="2016"/>
            <w:shd w:fill="FAFAFA"/>
          </w:tcPr>
          <w:p>
            <w:pPr>
              <w:spacing w:before="40" w:after="40" w:line="252" w:lineRule="auto"/>
              <w:jc w:val="left"/>
            </w:pPr>
            <w:r>
              <w:rPr>
                <w:rFonts w:ascii="Times New Roman" w:hAnsi="Times New Roman"/>
                <w:sz w:val="18"/>
              </w:rPr>
              <w:t>Max Hourly HI Rate (mmBtu/hr)</w:t>
            </w:r>
          </w:p>
        </w:tc>
        <w:tc>
          <w:tcPr>
            <w:tcW w:type="dxa" w:w="1728"/>
            <w:shd w:fill="FAFAFA"/>
          </w:tcPr>
          <w:p>
            <w:pPr>
              <w:spacing w:before="40" w:after="40" w:line="252" w:lineRule="auto"/>
              <w:jc w:val="left"/>
            </w:pPr>
            <w:r>
              <w:rPr>
                <w:rFonts w:ascii="Times New Roman" w:hAnsi="Times New Roman"/>
                <w:sz w:val="18"/>
              </w:rPr>
              <w:t>44 missing values (1.09%)</w:t>
            </w:r>
          </w:p>
        </w:tc>
        <w:tc>
          <w:tcPr>
            <w:tcW w:type="dxa" w:w="2016"/>
            <w:shd w:fill="FAFAFA"/>
          </w:tcPr>
          <w:p>
            <w:pPr>
              <w:spacing w:before="40" w:after="40" w:line="252" w:lineRule="auto"/>
              <w:jc w:val="left"/>
            </w:pPr>
            <w:r>
              <w:rPr>
                <w:rFonts w:ascii="Times New Roman" w:hAnsi="Times New Roman"/>
                <w:sz w:val="18"/>
              </w:rPr>
              <w:t>Imputed using median Heat-Input-to-Capacity ratio for unit type</w:t>
            </w:r>
          </w:p>
        </w:tc>
        <w:tc>
          <w:tcPr>
            <w:tcW w:type="dxa" w:w="2448"/>
            <w:shd w:fill="FAFAFA"/>
          </w:tcPr>
          <w:p>
            <w:pPr>
              <w:spacing w:before="40" w:after="40" w:line="252" w:lineRule="auto"/>
              <w:jc w:val="left"/>
            </w:pPr>
            <w:r>
              <w:rPr>
                <w:rFonts w:ascii="Times New Roman" w:hAnsi="Times New Roman"/>
                <w:sz w:val="18"/>
              </w:rPr>
              <w:t>Maintains physical thermal consistency (nominal heat rate ~ 9.5 mmBtu/MWe).</w:t>
            </w:r>
          </w:p>
        </w:tc>
      </w:tr>
      <w:tr>
        <w:tc>
          <w:tcPr>
            <w:tcW w:type="dxa" w:w="1872"/>
          </w:tcPr>
          <w:p>
            <w:pPr>
              <w:spacing w:before="40" w:after="40" w:line="252" w:lineRule="auto"/>
              <w:jc w:val="left"/>
            </w:pPr>
            <w:r>
              <w:rPr>
                <w:rFonts w:ascii="Times New Roman" w:hAnsi="Times New Roman"/>
                <w:sz w:val="18"/>
              </w:rPr>
              <w:t>High-Cardinality Fuel Types</w:t>
            </w:r>
          </w:p>
        </w:tc>
        <w:tc>
          <w:tcPr>
            <w:tcW w:type="dxa" w:w="2016"/>
          </w:tcPr>
          <w:p>
            <w:pPr>
              <w:spacing w:before="40" w:after="40" w:line="252" w:lineRule="auto"/>
              <w:jc w:val="left"/>
            </w:pPr>
            <w:r>
              <w:rPr>
                <w:rFonts w:ascii="Times New Roman" w:hAnsi="Times New Roman"/>
                <w:sz w:val="18"/>
              </w:rPr>
              <w:t>Primary Fuel Type</w:t>
            </w:r>
          </w:p>
        </w:tc>
        <w:tc>
          <w:tcPr>
            <w:tcW w:type="dxa" w:w="1728"/>
          </w:tcPr>
          <w:p>
            <w:pPr>
              <w:spacing w:before="40" w:after="40" w:line="252" w:lineRule="auto"/>
              <w:jc w:val="left"/>
            </w:pPr>
            <w:r>
              <w:rPr>
                <w:rFonts w:ascii="Times New Roman" w:hAnsi="Times New Roman"/>
                <w:sz w:val="18"/>
              </w:rPr>
              <w:t>value_counts() check (12 distinct codes)</w:t>
            </w:r>
          </w:p>
        </w:tc>
        <w:tc>
          <w:tcPr>
            <w:tcW w:type="dxa" w:w="2016"/>
          </w:tcPr>
          <w:p>
            <w:pPr>
              <w:spacing w:before="40" w:after="40" w:line="252" w:lineRule="auto"/>
              <w:jc w:val="left"/>
            </w:pPr>
            <w:r>
              <w:rPr>
                <w:rFonts w:ascii="Times New Roman" w:hAnsi="Times New Roman"/>
                <w:sz w:val="18"/>
              </w:rPr>
              <w:t>Consolidated into 5 robust classes: Natural Gas, Coal, Oil/Diesel, Biomass, Other</w:t>
            </w:r>
          </w:p>
        </w:tc>
        <w:tc>
          <w:tcPr>
            <w:tcW w:type="dxa" w:w="2448"/>
          </w:tcPr>
          <w:p>
            <w:pPr>
              <w:spacing w:before="40" w:after="40" w:line="252" w:lineRule="auto"/>
              <w:jc w:val="left"/>
            </w:pPr>
            <w:r>
              <w:rPr>
                <w:rFonts w:ascii="Times New Roman" w:hAnsi="Times New Roman"/>
                <w:sz w:val="18"/>
              </w:rPr>
              <w:t>Satisfies statistical power requirements (Rule of thumb ≥ 30 units per group for ANOVA).</w:t>
            </w:r>
          </w:p>
        </w:tc>
      </w:tr>
      <w:tr>
        <w:tc>
          <w:tcPr>
            <w:tcW w:type="dxa" w:w="1872"/>
            <w:shd w:fill="FAFAFA"/>
          </w:tcPr>
          <w:p>
            <w:pPr>
              <w:spacing w:before="40" w:after="40" w:line="252" w:lineRule="auto"/>
              <w:jc w:val="left"/>
            </w:pPr>
            <w:r>
              <w:rPr>
                <w:rFonts w:ascii="Times New Roman" w:hAnsi="Times New Roman"/>
                <w:sz w:val="18"/>
              </w:rPr>
              <w:t>High-Cardinality Boiler Types</w:t>
            </w:r>
          </w:p>
        </w:tc>
        <w:tc>
          <w:tcPr>
            <w:tcW w:type="dxa" w:w="2016"/>
            <w:shd w:fill="FAFAFA"/>
          </w:tcPr>
          <w:p>
            <w:pPr>
              <w:spacing w:before="40" w:after="40" w:line="252" w:lineRule="auto"/>
              <w:jc w:val="left"/>
            </w:pPr>
            <w:r>
              <w:rPr>
                <w:rFonts w:ascii="Times New Roman" w:hAnsi="Times New Roman"/>
                <w:sz w:val="18"/>
              </w:rPr>
              <w:t>Unit Type</w:t>
            </w:r>
          </w:p>
        </w:tc>
        <w:tc>
          <w:tcPr>
            <w:tcW w:type="dxa" w:w="1728"/>
            <w:shd w:fill="FAFAFA"/>
          </w:tcPr>
          <w:p>
            <w:pPr>
              <w:spacing w:before="40" w:after="40" w:line="252" w:lineRule="auto"/>
              <w:jc w:val="left"/>
            </w:pPr>
            <w:r>
              <w:rPr>
                <w:rFonts w:ascii="Times New Roman" w:hAnsi="Times New Roman"/>
                <w:sz w:val="18"/>
              </w:rPr>
              <w:t>value_counts() check (33 distinct codes)</w:t>
            </w:r>
          </w:p>
        </w:tc>
        <w:tc>
          <w:tcPr>
            <w:tcW w:type="dxa" w:w="2016"/>
            <w:shd w:fill="FAFAFA"/>
          </w:tcPr>
          <w:p>
            <w:pPr>
              <w:spacing w:before="40" w:after="40" w:line="252" w:lineRule="auto"/>
              <w:jc w:val="left"/>
            </w:pPr>
            <w:r>
              <w:rPr>
                <w:rFonts w:ascii="Times New Roman" w:hAnsi="Times New Roman"/>
                <w:sz w:val="18"/>
              </w:rPr>
              <w:t>Aggregated into 5 primary technologies: Turbines, Combined Cycle, Wall Boilers, Tangential, Other</w:t>
            </w:r>
          </w:p>
        </w:tc>
        <w:tc>
          <w:tcPr>
            <w:tcW w:type="dxa" w:w="2448"/>
            <w:shd w:fill="FAFAFA"/>
          </w:tcPr>
          <w:p>
            <w:pPr>
              <w:spacing w:before="40" w:after="40" w:line="252" w:lineRule="auto"/>
              <w:jc w:val="left"/>
            </w:pPr>
            <w:r>
              <w:rPr>
                <w:rFonts w:ascii="Times New Roman" w:hAnsi="Times New Roman"/>
                <w:sz w:val="18"/>
              </w:rPr>
              <w:t>Eliminates sparse categorical degrees of freedom in predictive classifiers.</w:t>
            </w:r>
          </w:p>
        </w:tc>
      </w:tr>
    </w:tbl>
    <w:p>
      <w:pPr>
        <w:spacing w:before="60" w:after="240"/>
      </w:pPr>
      <w:r>
        <w:rPr>
          <w:rFonts w:ascii="Times New Roman" w:hAnsi="Times New Roman"/>
          <w:i/>
          <w:sz w:val="18"/>
        </w:rPr>
        <w:t xml:space="preserve">Note. </w:t>
      </w:r>
      <w:r>
        <w:rPr>
          <w:rFonts w:ascii="Times New Roman" w:hAnsi="Times New Roman"/>
          <w:sz w:val="18"/>
        </w:rPr>
        <w:t>Systematic log documenting quality audits, parsing procedures, and imputation treatments applied to facility-2025.csv.</w:t>
      </w:r>
    </w:p>
    <w:p>
      <w:pPr>
        <w:keepNext/>
        <w:spacing w:before="240" w:after="120"/>
        <w:jc w:val="left"/>
      </w:pPr>
      <w:r>
        <w:rPr>
          <w:rFonts w:ascii="Times New Roman" w:hAnsi="Times New Roman"/>
          <w:b/>
          <w:color w:val="19375F"/>
          <w:sz w:val="24"/>
        </w:rPr>
        <w:t>Minimum Sample Size Computation per Research Question (RQ1–RQ4)</w:t>
      </w:r>
    </w:p>
    <w:p>
      <w:pPr>
        <w:spacing w:after="120" w:line="276" w:lineRule="auto"/>
        <w:jc w:val="left"/>
      </w:pPr>
      <w:r>
        <w:rPr>
          <w:rFonts w:ascii="Times New Roman" w:hAnsi="Times New Roman"/>
          <w:i w:val="0"/>
          <w:sz w:val="22"/>
        </w:rPr>
        <w:t>A foundational methodological strength of this capstone research is that modeling and statistical inferences were conducted on the complete national fleet of 4,050 generating units across 1,328 unique facilities, representing 100% of regulated units in facility-2025.csv with zero records discarded. In accordance with statistical power theory (Cohen, 1988; Cochran, 1977), a priori minimum sample size computations were performed for each Research Question (RQ1–RQ4) at a significance level of α = 0.05 and target statistical power of 1 - β = 0.80 (80%):</w:t>
      </w:r>
    </w:p>
    <w:p>
      <w:pPr>
        <w:spacing w:after="80" w:line="276" w:lineRule="auto"/>
        <w:jc w:val="left"/>
      </w:pPr>
      <w:r>
        <w:rPr>
          <w:rFonts w:ascii="Times New Roman" w:hAnsi="Times New Roman"/>
          <w:b/>
          <w:sz w:val="22"/>
        </w:rPr>
        <w:t xml:space="preserve">RQ1 Minimum Sample Size Computation: </w:t>
      </w:r>
      <w:r>
        <w:rPr>
          <w:rFonts w:ascii="Times New Roman" w:hAnsi="Times New Roman"/>
          <w:i w:val="0"/>
          <w:sz w:val="22"/>
        </w:rPr>
        <w:t>For One-Way ANOVA and Kruskal-Wallis testing across k = 5 primary fuel categories, detecting a medium effect size (Cohen's f = 0.25, equivalent to η² ≈ 0.0588) at α = 0.05 and 80% power requires a minimum total sample of N_min = 159 to 196 units (and at least 30 units per major comparison group under the Central Limit Theorem). Our analyzed sample of N = 4,050 units exceeds this minimum requirement by more than 20-fold, yielding achieved statistical power &gt; 99.99%.</w:t>
      </w:r>
    </w:p>
    <w:p>
      <w:pPr>
        <w:spacing w:after="80" w:line="276" w:lineRule="auto"/>
        <w:jc w:val="left"/>
      </w:pPr>
      <w:r>
        <w:rPr>
          <w:rFonts w:ascii="Times New Roman" w:hAnsi="Times New Roman"/>
          <w:b/>
          <w:sz w:val="22"/>
        </w:rPr>
        <w:t xml:space="preserve">RQ2 Minimum Sample Size Computation: </w:t>
      </w:r>
      <w:r>
        <w:rPr>
          <w:rFonts w:ascii="Times New Roman" w:hAnsi="Times New Roman"/>
          <w:i w:val="0"/>
          <w:sz w:val="22"/>
        </w:rPr>
        <w:t>For binary classification of High_Emitter status (25.14% positive prevalence, 1,018 high emitters across 4,050 units), standard events-per-variable (EPV) guidelines require 10 to 20 observations per candidate predictor per class (N_min = 120 to 240 units for core features, or 716 to 1,432 total units across all 18 encoded dummy parameters). Our stratified 80/20 partitioning allocates N_train = 3,240 records (80%, containing 814 high emitters) with 5-fold cross-validation and preserves N_test = 810 records (20% unseen holdout, containing 204 high emitters and 606 low emitters), exceeding minimum requirements by 3× to 13× with zero data leakage.</w:t>
      </w:r>
    </w:p>
    <w:p>
      <w:pPr>
        <w:spacing w:after="80" w:line="276" w:lineRule="auto"/>
        <w:jc w:val="left"/>
      </w:pPr>
      <w:r>
        <w:rPr>
          <w:rFonts w:ascii="Times New Roman" w:hAnsi="Times New Roman"/>
          <w:b/>
          <w:sz w:val="22"/>
        </w:rPr>
        <w:t xml:space="preserve">RQ3 Minimum Sample Size Computation: </w:t>
      </w:r>
      <w:r>
        <w:rPr>
          <w:rFonts w:ascii="Times New Roman" w:hAnsi="Times New Roman"/>
          <w:i w:val="0"/>
          <w:sz w:val="22"/>
        </w:rPr>
        <w:t>For bivariate and multivariate Ordinary Least Squares (OLS) regression with m = 3 predictors (Unit_Age, Capacity_MW, Control_Count), detecting a small-to-medium partial effect (f² = 0.02 to 0.15, r ≈ 0.10–0.30) at α = 0.05 and 80% power requires N_min = 300 to 782 records (and Green's rule of N ≥ 50 + 8m = 74). Executing OLS across all N = 4,050 units (df = 4,046) exceeds the upper threshold by &gt; 5×.</w:t>
      </w:r>
    </w:p>
    <w:p>
      <w:pPr>
        <w:spacing w:after="160" w:line="276" w:lineRule="auto"/>
        <w:jc w:val="left"/>
      </w:pPr>
      <w:r>
        <w:rPr>
          <w:rFonts w:ascii="Times New Roman" w:hAnsi="Times New Roman"/>
          <w:b/>
          <w:sz w:val="22"/>
        </w:rPr>
        <w:t xml:space="preserve">RQ4 Minimum Sample Size Computation: </w:t>
      </w:r>
      <w:r>
        <w:rPr>
          <w:rFonts w:ascii="Times New Roman" w:hAnsi="Times New Roman"/>
          <w:i w:val="0"/>
          <w:sz w:val="22"/>
        </w:rPr>
        <w:t>For unsupervised K-Means clustering and 2D Principal Component Analysis (PCA) across d = 4 continuous operational dimensions and k = 4 clusters, multivariate segmentation heuristics require at least 10× to 70× the feature/cluster count (N_min ≥ 160 to 300 units). Executing K-Means across all N = 4,050 units exceeds this requirement by &gt; 13×. Table 4 summarizes the minimum sample size computation and exact record allocation per Research Question.</w:t>
      </w:r>
    </w:p>
    <w:p>
      <w:pPr>
        <w:keepNext/>
        <w:spacing w:before="240" w:after="40"/>
      </w:pPr>
      <w:r>
        <w:rPr>
          <w:rFonts w:ascii="Times New Roman" w:hAnsi="Times New Roman"/>
          <w:b/>
          <w:sz w:val="22"/>
        </w:rPr>
        <w:t>Table 4</w:t>
      </w:r>
    </w:p>
    <w:p>
      <w:pPr>
        <w:keepNext/>
        <w:spacing w:before="0" w:after="120"/>
      </w:pPr>
      <w:r>
        <w:rPr>
          <w:rFonts w:ascii="Times New Roman" w:hAnsi="Times New Roman"/>
          <w:i/>
          <w:sz w:val="22"/>
        </w:rPr>
        <w:t>Minimum Sample Size Computation and Analytical Record Allocation per Research Question</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337"/>
        <w:gridCol w:w="1337"/>
        <w:gridCol w:w="1337"/>
        <w:gridCol w:w="1337"/>
        <w:gridCol w:w="1337"/>
        <w:gridCol w:w="1337"/>
        <w:gridCol w:w="1337"/>
      </w:tblGrid>
      <w:tr>
        <w:trPr>
          <w:tblHeader/>
        </w:trPr>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Research Question &amp; Scope</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Analytical Model</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Total Records</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Training Set</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Validation / Holdout</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Minimum Needed (Power)</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Statistical Power Evaluation</w:t>
            </w:r>
          </w:p>
        </w:tc>
      </w:tr>
      <w:tr>
        <w:tc>
          <w:tcPr>
            <w:tcW w:type="dxa" w:w="1728"/>
          </w:tcPr>
          <w:p>
            <w:pPr>
              <w:spacing w:before="40" w:after="40" w:line="252" w:lineRule="auto"/>
              <w:jc w:val="left"/>
            </w:pPr>
            <w:r>
              <w:rPr>
                <w:rFonts w:ascii="Times New Roman" w:hAnsi="Times New Roman"/>
                <w:sz w:val="18"/>
              </w:rPr>
              <w:t>RQ1: Emission &amp; Heat Input Variability across Fuel Types</w:t>
            </w:r>
          </w:p>
        </w:tc>
        <w:tc>
          <w:tcPr>
            <w:tcW w:type="dxa" w:w="1584"/>
          </w:tcPr>
          <w:p>
            <w:pPr>
              <w:spacing w:before="40" w:after="40" w:line="252" w:lineRule="auto"/>
              <w:jc w:val="left"/>
            </w:pPr>
            <w:r>
              <w:rPr>
                <w:rFonts w:ascii="Times New Roman" w:hAnsi="Times New Roman"/>
                <w:sz w:val="18"/>
              </w:rPr>
              <w:t>One-Way ANOVA &amp; Kruskal-Wallis Test</w:t>
            </w:r>
          </w:p>
        </w:tc>
        <w:tc>
          <w:tcPr>
            <w:tcW w:type="dxa" w:w="1152"/>
          </w:tcPr>
          <w:p>
            <w:pPr>
              <w:spacing w:before="40" w:after="40" w:line="252" w:lineRule="auto"/>
              <w:jc w:val="left"/>
            </w:pPr>
            <w:r>
              <w:rPr>
                <w:rFonts w:ascii="Times New Roman" w:hAnsi="Times New Roman"/>
                <w:sz w:val="18"/>
              </w:rPr>
              <w:t>4,050 records (100%)</w:t>
            </w:r>
          </w:p>
        </w:tc>
        <w:tc>
          <w:tcPr>
            <w:tcW w:type="dxa" w:w="1296"/>
          </w:tcPr>
          <w:p>
            <w:pPr>
              <w:spacing w:before="40" w:after="40" w:line="252" w:lineRule="auto"/>
              <w:jc w:val="left"/>
            </w:pPr>
            <w:r>
              <w:rPr>
                <w:rFonts w:ascii="Times New Roman" w:hAnsi="Times New Roman"/>
                <w:sz w:val="18"/>
              </w:rPr>
              <w:t>4,050 records (Full population)</w:t>
            </w:r>
          </w:p>
        </w:tc>
        <w:tc>
          <w:tcPr>
            <w:tcW w:type="dxa" w:w="1584"/>
          </w:tcPr>
          <w:p>
            <w:pPr>
              <w:spacing w:before="40" w:after="40" w:line="252" w:lineRule="auto"/>
              <w:jc w:val="left"/>
            </w:pPr>
            <w:r>
              <w:rPr>
                <w:rFonts w:ascii="Times New Roman" w:hAnsi="Times New Roman"/>
                <w:sz w:val="18"/>
              </w:rPr>
              <w:t>N/A (Omnibus inference, df = 4, 4045)</w:t>
            </w:r>
          </w:p>
        </w:tc>
        <w:tc>
          <w:tcPr>
            <w:tcW w:type="dxa" w:w="1440"/>
          </w:tcPr>
          <w:p>
            <w:pPr>
              <w:spacing w:before="40" w:after="40" w:line="252" w:lineRule="auto"/>
              <w:jc w:val="left"/>
            </w:pPr>
            <w:r>
              <w:rPr>
                <w:rFonts w:ascii="Times New Roman" w:hAnsi="Times New Roman"/>
                <w:sz w:val="18"/>
              </w:rPr>
              <w:t>159–196 units (f = 0.25, α = 0.05, power = 80%)</w:t>
            </w:r>
          </w:p>
        </w:tc>
        <w:tc>
          <w:tcPr>
            <w:tcW w:type="dxa" w:w="1584"/>
          </w:tcPr>
          <w:p>
            <w:pPr>
              <w:spacing w:before="40" w:after="40" w:line="252" w:lineRule="auto"/>
              <w:jc w:val="left"/>
            </w:pPr>
            <w:r>
              <w:rPr>
                <w:rFonts w:ascii="Times New Roman" w:hAnsi="Times New Roman"/>
                <w:sz w:val="18"/>
              </w:rPr>
              <w:t>Exceeds minimum by &gt;20×; achieved power &gt;99.99%.</w:t>
            </w:r>
          </w:p>
        </w:tc>
      </w:tr>
      <w:tr>
        <w:tc>
          <w:tcPr>
            <w:tcW w:type="dxa" w:w="1728"/>
            <w:shd w:fill="FAFAFA"/>
          </w:tcPr>
          <w:p>
            <w:pPr>
              <w:spacing w:before="40" w:after="40" w:line="252" w:lineRule="auto"/>
              <w:jc w:val="left"/>
            </w:pPr>
            <w:r>
              <w:rPr>
                <w:rFonts w:ascii="Times New Roman" w:hAnsi="Times New Roman"/>
                <w:sz w:val="18"/>
              </w:rPr>
              <w:t>RQ2: Predictive Classification of High-Emission Units</w:t>
            </w:r>
          </w:p>
        </w:tc>
        <w:tc>
          <w:tcPr>
            <w:tcW w:type="dxa" w:w="1584"/>
            <w:shd w:fill="FAFAFA"/>
          </w:tcPr>
          <w:p>
            <w:pPr>
              <w:spacing w:before="40" w:after="40" w:line="252" w:lineRule="auto"/>
              <w:jc w:val="left"/>
            </w:pPr>
            <w:r>
              <w:rPr>
                <w:rFonts w:ascii="Times New Roman" w:hAnsi="Times New Roman"/>
                <w:sz w:val="18"/>
              </w:rPr>
              <w:t>Random Forest, Gradient Boosting, Logistic Regression</w:t>
            </w:r>
          </w:p>
        </w:tc>
        <w:tc>
          <w:tcPr>
            <w:tcW w:type="dxa" w:w="1152"/>
            <w:shd w:fill="FAFAFA"/>
          </w:tcPr>
          <w:p>
            <w:pPr>
              <w:spacing w:before="40" w:after="40" w:line="252" w:lineRule="auto"/>
              <w:jc w:val="left"/>
            </w:pPr>
            <w:r>
              <w:rPr>
                <w:rFonts w:ascii="Times New Roman" w:hAnsi="Times New Roman"/>
                <w:sz w:val="18"/>
              </w:rPr>
              <w:t>4,050 records (100%)</w:t>
            </w:r>
          </w:p>
        </w:tc>
        <w:tc>
          <w:tcPr>
            <w:tcW w:type="dxa" w:w="1296"/>
            <w:shd w:fill="FAFAFA"/>
          </w:tcPr>
          <w:p>
            <w:pPr>
              <w:spacing w:before="40" w:after="40" w:line="252" w:lineRule="auto"/>
              <w:jc w:val="left"/>
            </w:pPr>
            <w:r>
              <w:rPr>
                <w:rFonts w:ascii="Times New Roman" w:hAnsi="Times New Roman"/>
                <w:sz w:val="18"/>
              </w:rPr>
              <w:t>3,240 records (80% stratified)</w:t>
            </w:r>
          </w:p>
        </w:tc>
        <w:tc>
          <w:tcPr>
            <w:tcW w:type="dxa" w:w="1584"/>
            <w:shd w:fill="FAFAFA"/>
          </w:tcPr>
          <w:p>
            <w:pPr>
              <w:spacing w:before="40" w:after="40" w:line="252" w:lineRule="auto"/>
              <w:jc w:val="left"/>
            </w:pPr>
            <w:r>
              <w:rPr>
                <w:rFonts w:ascii="Times New Roman" w:hAnsi="Times New Roman"/>
                <w:sz w:val="18"/>
              </w:rPr>
              <w:t>810 records (20% holdout: 204 High / 606 Low)</w:t>
            </w:r>
          </w:p>
        </w:tc>
        <w:tc>
          <w:tcPr>
            <w:tcW w:type="dxa" w:w="1440"/>
            <w:shd w:fill="FAFAFA"/>
          </w:tcPr>
          <w:p>
            <w:pPr>
              <w:spacing w:before="40" w:after="40" w:line="252" w:lineRule="auto"/>
              <w:jc w:val="left"/>
            </w:pPr>
            <w:r>
              <w:rPr>
                <w:rFonts w:ascii="Times New Roman" w:hAnsi="Times New Roman"/>
                <w:sz w:val="18"/>
              </w:rPr>
              <w:t>120–240 core / 716–1,432 full (10–20 EPV rule)</w:t>
            </w:r>
          </w:p>
        </w:tc>
        <w:tc>
          <w:tcPr>
            <w:tcW w:type="dxa" w:w="1584"/>
            <w:shd w:fill="FAFAFA"/>
          </w:tcPr>
          <w:p>
            <w:pPr>
              <w:spacing w:before="40" w:after="40" w:line="252" w:lineRule="auto"/>
              <w:jc w:val="left"/>
            </w:pPr>
            <w:r>
              <w:rPr>
                <w:rFonts w:ascii="Times New Roman" w:hAnsi="Times New Roman"/>
                <w:sz w:val="18"/>
              </w:rPr>
              <w:t>Exceeds minimum by 3×–13×; 5-fold CV prevents leakage.</w:t>
            </w:r>
          </w:p>
        </w:tc>
      </w:tr>
      <w:tr>
        <w:tc>
          <w:tcPr>
            <w:tcW w:type="dxa" w:w="1728"/>
          </w:tcPr>
          <w:p>
            <w:pPr>
              <w:spacing w:before="40" w:after="40" w:line="252" w:lineRule="auto"/>
              <w:jc w:val="left"/>
            </w:pPr>
            <w:r>
              <w:rPr>
                <w:rFonts w:ascii="Times New Roman" w:hAnsi="Times New Roman"/>
                <w:sz w:val="18"/>
              </w:rPr>
              <w:t>RQ3: Unit Age and Operational Thermal Intensity</w:t>
            </w:r>
          </w:p>
        </w:tc>
        <w:tc>
          <w:tcPr>
            <w:tcW w:type="dxa" w:w="1584"/>
          </w:tcPr>
          <w:p>
            <w:pPr>
              <w:spacing w:before="40" w:after="40" w:line="252" w:lineRule="auto"/>
              <w:jc w:val="left"/>
            </w:pPr>
            <w:r>
              <w:rPr>
                <w:rFonts w:ascii="Times New Roman" w:hAnsi="Times New Roman"/>
                <w:sz w:val="18"/>
              </w:rPr>
              <w:t>Bivariate &amp; Multivariate OLS Regressions</w:t>
            </w:r>
          </w:p>
        </w:tc>
        <w:tc>
          <w:tcPr>
            <w:tcW w:type="dxa" w:w="1152"/>
          </w:tcPr>
          <w:p>
            <w:pPr>
              <w:spacing w:before="40" w:after="40" w:line="252" w:lineRule="auto"/>
              <w:jc w:val="left"/>
            </w:pPr>
            <w:r>
              <w:rPr>
                <w:rFonts w:ascii="Times New Roman" w:hAnsi="Times New Roman"/>
                <w:sz w:val="18"/>
              </w:rPr>
              <w:t>4,050 records (100%)</w:t>
            </w:r>
          </w:p>
        </w:tc>
        <w:tc>
          <w:tcPr>
            <w:tcW w:type="dxa" w:w="1296"/>
          </w:tcPr>
          <w:p>
            <w:pPr>
              <w:spacing w:before="40" w:after="40" w:line="252" w:lineRule="auto"/>
              <w:jc w:val="left"/>
            </w:pPr>
            <w:r>
              <w:rPr>
                <w:rFonts w:ascii="Times New Roman" w:hAnsi="Times New Roman"/>
                <w:sz w:val="18"/>
              </w:rPr>
              <w:t>4,050 records (Full population)</w:t>
            </w:r>
          </w:p>
        </w:tc>
        <w:tc>
          <w:tcPr>
            <w:tcW w:type="dxa" w:w="1584"/>
          </w:tcPr>
          <w:p>
            <w:pPr>
              <w:spacing w:before="40" w:after="40" w:line="252" w:lineRule="auto"/>
              <w:jc w:val="left"/>
            </w:pPr>
            <w:r>
              <w:rPr>
                <w:rFonts w:ascii="Times New Roman" w:hAnsi="Times New Roman"/>
                <w:sz w:val="18"/>
              </w:rPr>
              <w:t>N/A (df = 4,046; residual diagnostics)</w:t>
            </w:r>
          </w:p>
        </w:tc>
        <w:tc>
          <w:tcPr>
            <w:tcW w:type="dxa" w:w="1440"/>
          </w:tcPr>
          <w:p>
            <w:pPr>
              <w:spacing w:before="40" w:after="40" w:line="252" w:lineRule="auto"/>
              <w:jc w:val="left"/>
            </w:pPr>
            <w:r>
              <w:rPr>
                <w:rFonts w:ascii="Times New Roman" w:hAnsi="Times New Roman"/>
                <w:sz w:val="18"/>
              </w:rPr>
              <w:t>300–782 units (Small-medium effect, r ≈ 0.1–0.3)</w:t>
            </w:r>
          </w:p>
        </w:tc>
        <w:tc>
          <w:tcPr>
            <w:tcW w:type="dxa" w:w="1584"/>
          </w:tcPr>
          <w:p>
            <w:pPr>
              <w:spacing w:before="40" w:after="40" w:line="252" w:lineRule="auto"/>
              <w:jc w:val="left"/>
            </w:pPr>
            <w:r>
              <w:rPr>
                <w:rFonts w:ascii="Times New Roman" w:hAnsi="Times New Roman"/>
                <w:sz w:val="18"/>
              </w:rPr>
              <w:t>Exceeds minimum by &gt;5×; highly stable slope SEs.</w:t>
            </w:r>
          </w:p>
        </w:tc>
      </w:tr>
      <w:tr>
        <w:tc>
          <w:tcPr>
            <w:tcW w:type="dxa" w:w="1728"/>
            <w:shd w:fill="FAFAFA"/>
          </w:tcPr>
          <w:p>
            <w:pPr>
              <w:spacing w:before="40" w:after="40" w:line="252" w:lineRule="auto"/>
              <w:jc w:val="left"/>
            </w:pPr>
            <w:r>
              <w:rPr>
                <w:rFonts w:ascii="Times New Roman" w:hAnsi="Times New Roman"/>
                <w:sz w:val="18"/>
              </w:rPr>
              <w:t>RQ4: Unsupervised Fleet Segmentation &amp; Archetype Profiling</w:t>
            </w:r>
          </w:p>
        </w:tc>
        <w:tc>
          <w:tcPr>
            <w:tcW w:type="dxa" w:w="1584"/>
            <w:shd w:fill="FAFAFA"/>
          </w:tcPr>
          <w:p>
            <w:pPr>
              <w:spacing w:before="40" w:after="40" w:line="252" w:lineRule="auto"/>
              <w:jc w:val="left"/>
            </w:pPr>
            <w:r>
              <w:rPr>
                <w:rFonts w:ascii="Times New Roman" w:hAnsi="Times New Roman"/>
                <w:sz w:val="18"/>
              </w:rPr>
              <w:t>K-Means Clustering &amp; 2D Principal Component Analysis</w:t>
            </w:r>
          </w:p>
        </w:tc>
        <w:tc>
          <w:tcPr>
            <w:tcW w:type="dxa" w:w="1152"/>
            <w:shd w:fill="FAFAFA"/>
          </w:tcPr>
          <w:p>
            <w:pPr>
              <w:spacing w:before="40" w:after="40" w:line="252" w:lineRule="auto"/>
              <w:jc w:val="left"/>
            </w:pPr>
            <w:r>
              <w:rPr>
                <w:rFonts w:ascii="Times New Roman" w:hAnsi="Times New Roman"/>
                <w:sz w:val="18"/>
              </w:rPr>
              <w:t>4,050 records (100%)</w:t>
            </w:r>
          </w:p>
        </w:tc>
        <w:tc>
          <w:tcPr>
            <w:tcW w:type="dxa" w:w="1296"/>
            <w:shd w:fill="FAFAFA"/>
          </w:tcPr>
          <w:p>
            <w:pPr>
              <w:spacing w:before="40" w:after="40" w:line="252" w:lineRule="auto"/>
              <w:jc w:val="left"/>
            </w:pPr>
            <w:r>
              <w:rPr>
                <w:rFonts w:ascii="Times New Roman" w:hAnsi="Times New Roman"/>
                <w:sz w:val="18"/>
              </w:rPr>
              <w:t>4,050 records (Full population)</w:t>
            </w:r>
          </w:p>
        </w:tc>
        <w:tc>
          <w:tcPr>
            <w:tcW w:type="dxa" w:w="1584"/>
            <w:shd w:fill="FAFAFA"/>
          </w:tcPr>
          <w:p>
            <w:pPr>
              <w:spacing w:before="40" w:after="40" w:line="252" w:lineRule="auto"/>
              <w:jc w:val="left"/>
            </w:pPr>
            <w:r>
              <w:rPr>
                <w:rFonts w:ascii="Times New Roman" w:hAnsi="Times New Roman"/>
                <w:sz w:val="18"/>
              </w:rPr>
              <w:t>N/A (Fleet-wide centroid optimization)</w:t>
            </w:r>
          </w:p>
        </w:tc>
        <w:tc>
          <w:tcPr>
            <w:tcW w:type="dxa" w:w="1440"/>
            <w:shd w:fill="FAFAFA"/>
          </w:tcPr>
          <w:p>
            <w:pPr>
              <w:spacing w:before="40" w:after="40" w:line="252" w:lineRule="auto"/>
              <w:jc w:val="left"/>
            </w:pPr>
            <w:r>
              <w:rPr>
                <w:rFonts w:ascii="Times New Roman" w:hAnsi="Times New Roman"/>
                <w:sz w:val="18"/>
              </w:rPr>
              <w:t>≥ 160–300 units (≥ 10×–70× feature/cluster rule)</w:t>
            </w:r>
          </w:p>
        </w:tc>
        <w:tc>
          <w:tcPr>
            <w:tcW w:type="dxa" w:w="1584"/>
            <w:shd w:fill="FAFAFA"/>
          </w:tcPr>
          <w:p>
            <w:pPr>
              <w:spacing w:before="40" w:after="40" w:line="252" w:lineRule="auto"/>
              <w:jc w:val="left"/>
            </w:pPr>
            <w:r>
              <w:rPr>
                <w:rFonts w:ascii="Times New Roman" w:hAnsi="Times New Roman"/>
                <w:sz w:val="18"/>
              </w:rPr>
              <w:t>Exceeds minimum by &gt;13×; stable centroid separation.</w:t>
            </w:r>
          </w:p>
        </w:tc>
      </w:tr>
    </w:tbl>
    <w:p>
      <w:pPr>
        <w:spacing w:before="60" w:after="240"/>
      </w:pPr>
      <w:r>
        <w:rPr>
          <w:rFonts w:ascii="Times New Roman" w:hAnsi="Times New Roman"/>
          <w:i/>
          <w:sz w:val="18"/>
        </w:rPr>
        <w:t xml:space="preserve">Note. </w:t>
      </w:r>
      <w:r>
        <w:rPr>
          <w:rFonts w:ascii="Times New Roman" w:hAnsi="Times New Roman"/>
          <w:sz w:val="18"/>
        </w:rPr>
        <w:t>Minimum sample size computations (α = 0.05, power = 80%) and record allocations across RQ1–RQ4 confirming 100% data retention (N = 4,050).</w:t>
      </w:r>
    </w:p>
    <w:p>
      <w:pPr>
        <w:keepNext/>
        <w:spacing w:before="240" w:after="120"/>
        <w:jc w:val="left"/>
      </w:pPr>
      <w:r>
        <w:rPr>
          <w:rFonts w:ascii="Times New Roman" w:hAnsi="Times New Roman"/>
          <w:b/>
          <w:color w:val="19375F"/>
          <w:sz w:val="24"/>
        </w:rPr>
        <w:t>Exploratory Data Analysis (EDA) Results, Visualizations, and Respective Insights</w:t>
      </w:r>
    </w:p>
    <w:p>
      <w:pPr>
        <w:spacing w:after="120" w:line="276" w:lineRule="auto"/>
        <w:jc w:val="left"/>
      </w:pPr>
      <w:r>
        <w:rPr>
          <w:rFonts w:ascii="Times New Roman" w:hAnsi="Times New Roman"/>
          <w:i w:val="0"/>
          <w:sz w:val="22"/>
        </w:rPr>
        <w:t>Exploratory data analysis was conducted to uncover fundamental empirical patterns, distributional properties, and inter-variable dependencies across the U.S. generating fleet. Emphasis is placed on the direct operational and regulatory interpretation of visualizations and tables, each of which is explicitly referenced and synthesized in the text.</w:t>
      </w:r>
    </w:p>
    <w:p>
      <w:pPr>
        <w:keepNext/>
        <w:spacing w:before="240" w:after="40"/>
      </w:pPr>
      <w:r>
        <w:rPr>
          <w:rFonts w:ascii="Times New Roman" w:hAnsi="Times New Roman"/>
          <w:b/>
          <w:sz w:val="22"/>
        </w:rPr>
        <w:t>Figure 1</w:t>
      </w:r>
    </w:p>
    <w:p>
      <w:pPr>
        <w:keepNext/>
        <w:spacing w:before="0" w:after="120"/>
      </w:pPr>
      <w:r>
        <w:rPr>
          <w:rFonts w:ascii="Times New Roman" w:hAnsi="Times New Roman"/>
          <w:i/>
          <w:sz w:val="22"/>
        </w:rPr>
        <w:t>Maximum Hourly Heat Input Rate by Primary Fuel Category</w:t>
      </w:r>
    </w:p>
    <w:p>
      <w:pPr>
        <w:keepNext/>
        <w:spacing w:after="80"/>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figure1_fuel_emission_boxplot.png"/>
                    <pic:cNvPicPr/>
                  </pic:nvPicPr>
                  <pic:blipFill>
                    <a:blip r:embed="rId11"/>
                    <a:stretch>
                      <a:fillRect/>
                    </a:stretch>
                  </pic:blipFill>
                  <pic:spPr>
                    <a:xfrm>
                      <a:off x="0" y="0"/>
                      <a:ext cx="5486400" cy="3352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Boxplots display median (horizontal bar), interquartile range (box), 1.5×IQR whiskers, and outliers. White circles indicate group means. ANOVA F = 542.36 (p &lt; 0.001, eta^2 = 0.349); Kruskal-Wallis H = 783.02 (p &lt; 0.001).</w:t>
      </w:r>
    </w:p>
    <w:p>
      <w:pPr>
        <w:spacing w:after="120" w:line="276" w:lineRule="auto"/>
        <w:jc w:val="left"/>
      </w:pPr>
      <w:r>
        <w:rPr>
          <w:rFonts w:ascii="Times New Roman" w:hAnsi="Times New Roman"/>
          <w:i w:val="0"/>
          <w:sz w:val="22"/>
        </w:rPr>
        <w:t>As illustrated in Figure 1, operational thermal capacity exhibits massive divergence across primary fuel categories. Coal-fired generating units demonstrate an overwhelming thermal superiority, with a mean maximum hourly heat input rate of 5,221.2 mmBtu/hr (SD = 3,270.3; Median = 5,240.0 mmBtu/hr; N = 424). In stark contrast, natural gas units exhibit a mean heat input rate of 1,553.0 mmBtu/hr (SD = 1,280.9; Median = 1,200.0 mmBtu/hr; N = 3247), representing less than one-third of the thermal magnitude of coal assets. Liquid oil and diesel units occupy the lower tail (Mean = 776.6 mmBtu/hr; Median = 482.0 mmBtu/hr), reflecting their specialized deployment as rapid-start emergency or peaking assets. This profound distributional gap confirms that despite decades of environmental regulation, coal-fired units retain massive physical combustion volumes, underscoring their disproportionate potential for criteria pollutant emissions per operational hour.</w:t>
      </w:r>
    </w:p>
    <w:p>
      <w:pPr>
        <w:keepNext/>
        <w:spacing w:before="240" w:after="40"/>
      </w:pPr>
      <w:r>
        <w:rPr>
          <w:rFonts w:ascii="Times New Roman" w:hAnsi="Times New Roman"/>
          <w:b/>
          <w:sz w:val="22"/>
        </w:rPr>
        <w:t>Figure 2</w:t>
      </w:r>
    </w:p>
    <w:p>
      <w:pPr>
        <w:keepNext/>
        <w:spacing w:before="0" w:after="120"/>
      </w:pPr>
      <w:r>
        <w:rPr>
          <w:rFonts w:ascii="Times New Roman" w:hAnsi="Times New Roman"/>
          <w:i/>
          <w:sz w:val="22"/>
        </w:rPr>
        <w:t>Fleet Composition and Operational Scale Across Generating Technologies</w:t>
      </w:r>
    </w:p>
    <w:p>
      <w:pPr>
        <w:keepNext/>
        <w:spacing w:after="80"/>
        <w:jc w:val="center"/>
      </w:pPr>
      <w:r>
        <w:drawing>
          <wp:inline xmlns:a="http://schemas.openxmlformats.org/drawingml/2006/main" xmlns:pic="http://schemas.openxmlformats.org/drawingml/2006/picture">
            <wp:extent cx="5486400" cy="2391744"/>
            <wp:docPr id="2" name="Picture 2"/>
            <wp:cNvGraphicFramePr>
              <a:graphicFrameLocks noChangeAspect="1"/>
            </wp:cNvGraphicFramePr>
            <a:graphic>
              <a:graphicData uri="http://schemas.openxmlformats.org/drawingml/2006/picture">
                <pic:pic>
                  <pic:nvPicPr>
                    <pic:cNvPr id="0" name="figure2_unit_type_distribution.png"/>
                    <pic:cNvPicPr/>
                  </pic:nvPicPr>
                  <pic:blipFill>
                    <a:blip r:embed="rId12"/>
                    <a:stretch>
                      <a:fillRect/>
                    </a:stretch>
                  </pic:blipFill>
                  <pic:spPr>
                    <a:xfrm>
                      <a:off x="0" y="0"/>
                      <a:ext cx="5486400" cy="2391744"/>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Panel A shows total unit counts by technology. Panel B depicts mean heat input rate (mmBtu/hr) across technology classes. Data reflects active units in 2025.</w:t>
      </w:r>
    </w:p>
    <w:p>
      <w:pPr>
        <w:spacing w:after="120" w:line="276" w:lineRule="auto"/>
        <w:jc w:val="left"/>
      </w:pPr>
      <w:r>
        <w:rPr>
          <w:rFonts w:ascii="Times New Roman" w:hAnsi="Times New Roman"/>
          <w:i w:val="0"/>
          <w:sz w:val="22"/>
        </w:rPr>
        <w:t>Figure 2 illuminates the structural decoupling between unit prevalence and thermal combustion scale. Panel A reveals that the U.S. generating fleet is numerically dominated by combustion turbines (N = 1,908 units) and combined cycle facilities (N = 1,140 units), which collectively represent over 75% of all regulated units. However, Panel B demonstrates that boiler technologies—specifically tangentially-fired boilers (Mean HI = 4,420 mmBtu/hr) and wall-fired boilers (Mean HI = 4,285 mmBtu/hr)—possess thermal capacities four to six times larger than simple-cycle combustion turbines (Mean HI = 812 mmBtu/hr). This divergence demonstrates that fleet decarbonization and compliance monitoring cannot be evaluated purely through unit count counts; rather, regulatory surveillance must remain heavily concentrated on the thermally intensive boiler cohort.</w:t>
      </w:r>
    </w:p>
    <w:p>
      <w:pPr>
        <w:keepNext/>
        <w:spacing w:before="240" w:after="40"/>
      </w:pPr>
      <w:r>
        <w:rPr>
          <w:rFonts w:ascii="Times New Roman" w:hAnsi="Times New Roman"/>
          <w:b/>
          <w:sz w:val="22"/>
        </w:rPr>
        <w:t>Figure 3</w:t>
      </w:r>
    </w:p>
    <w:p>
      <w:pPr>
        <w:keepNext/>
        <w:spacing w:before="0" w:after="120"/>
      </w:pPr>
      <w:r>
        <w:rPr>
          <w:rFonts w:ascii="Times New Roman" w:hAnsi="Times New Roman"/>
          <w:i/>
          <w:sz w:val="22"/>
        </w:rPr>
        <w:t>Air Pollution Control Technology Adoption Rate (%) by Primary Fuel</w:t>
      </w:r>
    </w:p>
    <w:p>
      <w:pPr>
        <w:keepNext/>
        <w:spacing w:after="80"/>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ure3_controls_by_fuel.png"/>
                    <pic:cNvPicPr/>
                  </pic:nvPicPr>
                  <pic:blipFill>
                    <a:blip r:embed="rId13"/>
                    <a:stretch>
                      <a:fillRect/>
                    </a:stretch>
                  </pic:blipFill>
                  <pic:spPr>
                    <a:xfrm>
                      <a:off x="0" y="0"/>
                      <a:ext cx="5486400" cy="30480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Adoption rate calculated as the percentage of units within each fuel category equipped with active abatement technology for SO2, NOx, PM, and Hg.</w:t>
      </w:r>
    </w:p>
    <w:p>
      <w:pPr>
        <w:spacing w:after="120" w:line="276" w:lineRule="auto"/>
        <w:jc w:val="left"/>
      </w:pPr>
      <w:r>
        <w:rPr>
          <w:rFonts w:ascii="Times New Roman" w:hAnsi="Times New Roman"/>
          <w:i w:val="0"/>
          <w:sz w:val="22"/>
        </w:rPr>
        <w:t>Figure 3 depicts the stark asymmetry in air pollution control technology adoption across fuel types. Nitrogen oxide (NOₓ) controls —predominantly low-NOₓ burners (LNB), overfire air (OFA), and selective catalytic reduction (SCR)—exhibit widespread national adoption, installed on 87.2% of natural gas units and 96.5% of coal units. Conversely, sulfur dioxide (SO₂) flue gas desulfurization scrubbers, particulate matter (PM) electrostatic precipitators/baghouses, and mercury (Hg) sorbent injection systems are almost exclusively confined to coal-fired units (SO₂ adoption = 84.4%, PM adoption = 94.8%, Hg adoption = 39.6% in coal assets, compared to &lt; 1.5% in natural gas). This confirms the regulatory effectiveness of the Acid Rain Program and MATS in mandating multi-pollutant control trains on coal assets, while natural gas units remain largely exempt from post-combustion SO₂ and heavy metal abatement due to clean feedstock chemistry.</w:t>
      </w:r>
    </w:p>
    <w:p>
      <w:pPr>
        <w:keepNext/>
        <w:spacing w:before="240" w:after="40"/>
      </w:pPr>
      <w:r>
        <w:rPr>
          <w:rFonts w:ascii="Times New Roman" w:hAnsi="Times New Roman"/>
          <w:b/>
          <w:sz w:val="22"/>
        </w:rPr>
        <w:t>Figure 4</w:t>
      </w:r>
    </w:p>
    <w:p>
      <w:pPr>
        <w:keepNext/>
        <w:spacing w:before="0" w:after="120"/>
      </w:pPr>
      <w:r>
        <w:rPr>
          <w:rFonts w:ascii="Times New Roman" w:hAnsi="Times New Roman"/>
          <w:i/>
          <w:sz w:val="22"/>
        </w:rPr>
        <w:t>Pearson Correlation Matrix of Operational and Emission Attributes</w:t>
      </w:r>
    </w:p>
    <w:p>
      <w:pPr>
        <w:keepNext/>
        <w:spacing w:after="80"/>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figure4_correlation_heatmap.png"/>
                    <pic:cNvPicPr/>
                  </pic:nvPicPr>
                  <pic:blipFill>
                    <a:blip r:embed="rId14"/>
                    <a:stretch>
                      <a:fillRect/>
                    </a:stretch>
                  </pic:blipFill>
                  <pic:spPr>
                    <a:xfrm>
                      <a:off x="0" y="0"/>
                      <a:ext cx="5486400" cy="438912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Heatmap displaying bivariate Pearson correlation coefficients (r) among continuous and binary operational features (N = 4,050).</w:t>
      </w:r>
    </w:p>
    <w:p>
      <w:pPr>
        <w:spacing w:after="120" w:line="276" w:lineRule="auto"/>
        <w:jc w:val="left"/>
      </w:pPr>
      <w:r>
        <w:rPr>
          <w:rFonts w:ascii="Times New Roman" w:hAnsi="Times New Roman"/>
          <w:i w:val="0"/>
          <w:sz w:val="22"/>
        </w:rPr>
        <w:t>Figure 4 provides a bivariate Pearson correlation matrix summarizing linear interdependencies among operational variables. Maximum hourly heat input rate is powerfully and positively correlated with installed electrical generation capacity (r = 0.869, p &lt; 0.001), establishing that thermal combustion requirements scale in near-linear proportionality with megawatt output. Heat input rate also correlates moderately with pollution control count (r = 0.354, p &lt; 0.001) and unit age (r = 0.119, p &lt; 0.001), reflecting the historical reality that larger and older steam units were retrofitted with multi-stage control technologies under Clean Air Act mandates. Importantly, multicollinearity diagnostics indicate that while capacity and heat input rate are closely aligned, unit age and control counts provide independent variance dimensions suitable for multivariate modeling.</w:t>
      </w:r>
    </w:p>
    <w:p>
      <w:pPr>
        <w:spacing w:after="120" w:line="276" w:lineRule="auto"/>
        <w:jc w:val="left"/>
      </w:pPr>
      <w:r>
        <w:rPr>
          <w:rFonts w:ascii="Times New Roman" w:hAnsi="Times New Roman"/>
          <w:i w:val="0"/>
          <w:sz w:val="22"/>
        </w:rPr>
        <w:t>Table 5 synthesizes the key empirical insights, operational interpretations, and analytical modeling decisions derived from the preceding exploratory visualizations and statistical distributions.</w:t>
      </w:r>
    </w:p>
    <w:p>
      <w:pPr>
        <w:keepNext/>
        <w:spacing w:before="240" w:after="40"/>
      </w:pPr>
      <w:r>
        <w:rPr>
          <w:rFonts w:ascii="Times New Roman" w:hAnsi="Times New Roman"/>
          <w:b/>
          <w:sz w:val="22"/>
        </w:rPr>
        <w:t>Table 5</w:t>
      </w:r>
    </w:p>
    <w:p>
      <w:pPr>
        <w:keepNext/>
        <w:spacing w:before="0" w:after="120"/>
      </w:pPr>
      <w:r>
        <w:rPr>
          <w:rFonts w:ascii="Times New Roman" w:hAnsi="Times New Roman"/>
          <w:i/>
          <w:sz w:val="22"/>
        </w:rPr>
        <w:t>EDA Insight Summary Matrix</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Figure/Table Ref</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What it Shows</w:t>
            </w:r>
          </w:p>
        </w:tc>
        <w:tc>
          <w:tcPr>
            <w:tcW w:type="dxa" w:w="2304"/>
            <w:tcBorders>
              <w:bottom w:val="single" w:sz="12" w:space="0" w:color="000000"/>
            </w:tcBorders>
            <w:shd w:fill="F4F6F8"/>
          </w:tcPr>
          <w:p>
            <w:pPr>
              <w:spacing w:before="60" w:after="60" w:line="240" w:lineRule="auto"/>
              <w:jc w:val="center"/>
            </w:pPr>
            <w:r>
              <w:rPr>
                <w:rFonts w:ascii="Times New Roman" w:hAnsi="Times New Roman"/>
                <w:b/>
                <w:sz w:val="19"/>
              </w:rPr>
              <w:t>Key Insight</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Linkage to RQ/Objective</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Decision / Next Step</w:t>
            </w:r>
          </w:p>
        </w:tc>
      </w:tr>
      <w:tr>
        <w:tc>
          <w:tcPr>
            <w:tcW w:type="dxa" w:w="1440"/>
          </w:tcPr>
          <w:p>
            <w:pPr>
              <w:spacing w:before="40" w:after="40" w:line="252" w:lineRule="auto"/>
              <w:jc w:val="left"/>
            </w:pPr>
            <w:r>
              <w:rPr>
                <w:rFonts w:ascii="Times New Roman" w:hAnsi="Times New Roman"/>
                <w:sz w:val="18"/>
              </w:rPr>
              <w:t>Figure 1</w:t>
            </w:r>
          </w:p>
        </w:tc>
        <w:tc>
          <w:tcPr>
            <w:tcW w:type="dxa" w:w="2016"/>
          </w:tcPr>
          <w:p>
            <w:pPr>
              <w:spacing w:before="40" w:after="40" w:line="252" w:lineRule="auto"/>
              <w:jc w:val="left"/>
            </w:pPr>
            <w:r>
              <w:rPr>
                <w:rFonts w:ascii="Times New Roman" w:hAnsi="Times New Roman"/>
                <w:sz w:val="18"/>
              </w:rPr>
              <w:t>Heat Input Distribution across Fuels</w:t>
            </w:r>
          </w:p>
        </w:tc>
        <w:tc>
          <w:tcPr>
            <w:tcW w:type="dxa" w:w="2304"/>
          </w:tcPr>
          <w:p>
            <w:pPr>
              <w:spacing w:before="40" w:after="40" w:line="252" w:lineRule="auto"/>
              <w:jc w:val="left"/>
            </w:pPr>
            <w:r>
              <w:rPr>
                <w:rFonts w:ascii="Times New Roman" w:hAnsi="Times New Roman"/>
                <w:sz w:val="18"/>
              </w:rPr>
              <w:t>Coal units exhibit 3.3× higher mean heat input (5,221 mmBtu/hr) than gas units (1,553 mmBtu/hr).</w:t>
            </w:r>
          </w:p>
        </w:tc>
        <w:tc>
          <w:tcPr>
            <w:tcW w:type="dxa" w:w="2160"/>
          </w:tcPr>
          <w:p>
            <w:pPr>
              <w:spacing w:before="40" w:after="40" w:line="252" w:lineRule="auto"/>
              <w:jc w:val="left"/>
            </w:pPr>
            <w:r>
              <w:rPr>
                <w:rFonts w:ascii="Times New Roman" w:hAnsi="Times New Roman"/>
                <w:sz w:val="18"/>
              </w:rPr>
              <w:t>Directly resolves RQ1; proves massive operational disparity across fuel types.</w:t>
            </w:r>
          </w:p>
        </w:tc>
        <w:tc>
          <w:tcPr>
            <w:tcW w:type="dxa" w:w="2160"/>
          </w:tcPr>
          <w:p>
            <w:pPr>
              <w:spacing w:before="40" w:after="40" w:line="252" w:lineRule="auto"/>
              <w:jc w:val="left"/>
            </w:pPr>
            <w:r>
              <w:rPr>
                <w:rFonts w:ascii="Times New Roman" w:hAnsi="Times New Roman"/>
                <w:sz w:val="18"/>
              </w:rPr>
              <w:t>Incorporate fuel category as primary fixed effect and predictive feature.</w:t>
            </w:r>
          </w:p>
        </w:tc>
      </w:tr>
      <w:tr>
        <w:tc>
          <w:tcPr>
            <w:tcW w:type="dxa" w:w="1440"/>
            <w:shd w:fill="FAFAFA"/>
          </w:tcPr>
          <w:p>
            <w:pPr>
              <w:spacing w:before="40" w:after="40" w:line="252" w:lineRule="auto"/>
              <w:jc w:val="left"/>
            </w:pPr>
            <w:r>
              <w:rPr>
                <w:rFonts w:ascii="Times New Roman" w:hAnsi="Times New Roman"/>
                <w:sz w:val="18"/>
              </w:rPr>
              <w:t>Figure 2</w:t>
            </w:r>
          </w:p>
        </w:tc>
        <w:tc>
          <w:tcPr>
            <w:tcW w:type="dxa" w:w="2016"/>
            <w:shd w:fill="FAFAFA"/>
          </w:tcPr>
          <w:p>
            <w:pPr>
              <w:spacing w:before="40" w:after="40" w:line="252" w:lineRule="auto"/>
              <w:jc w:val="left"/>
            </w:pPr>
            <w:r>
              <w:rPr>
                <w:rFonts w:ascii="Times New Roman" w:hAnsi="Times New Roman"/>
                <w:sz w:val="18"/>
              </w:rPr>
              <w:t>Technology Scale vs Prevalence</w:t>
            </w:r>
          </w:p>
        </w:tc>
        <w:tc>
          <w:tcPr>
            <w:tcW w:type="dxa" w:w="2304"/>
            <w:shd w:fill="FAFAFA"/>
          </w:tcPr>
          <w:p>
            <w:pPr>
              <w:spacing w:before="40" w:after="40" w:line="252" w:lineRule="auto"/>
              <w:jc w:val="left"/>
            </w:pPr>
            <w:r>
              <w:rPr>
                <w:rFonts w:ascii="Times New Roman" w:hAnsi="Times New Roman"/>
                <w:sz w:val="18"/>
              </w:rPr>
              <w:t>Turbines comprise &gt;75% of units but boilers operate at 4-6× higher thermal heat rates.</w:t>
            </w:r>
          </w:p>
        </w:tc>
        <w:tc>
          <w:tcPr>
            <w:tcW w:type="dxa" w:w="2160"/>
            <w:shd w:fill="FAFAFA"/>
          </w:tcPr>
          <w:p>
            <w:pPr>
              <w:spacing w:before="40" w:after="40" w:line="252" w:lineRule="auto"/>
              <w:jc w:val="left"/>
            </w:pPr>
            <w:r>
              <w:rPr>
                <w:rFonts w:ascii="Times New Roman" w:hAnsi="Times New Roman"/>
                <w:sz w:val="18"/>
              </w:rPr>
              <w:t>Resolves fleet risk exposure; shows emission mass is heavily concentrated in boilers.</w:t>
            </w:r>
          </w:p>
        </w:tc>
        <w:tc>
          <w:tcPr>
            <w:tcW w:type="dxa" w:w="2160"/>
            <w:shd w:fill="FAFAFA"/>
          </w:tcPr>
          <w:p>
            <w:pPr>
              <w:spacing w:before="40" w:after="40" w:line="252" w:lineRule="auto"/>
              <w:jc w:val="left"/>
            </w:pPr>
            <w:r>
              <w:rPr>
                <w:rFonts w:ascii="Times New Roman" w:hAnsi="Times New Roman"/>
                <w:sz w:val="18"/>
              </w:rPr>
              <w:t>Utilize unit technology category as dummy predictor in RQ2 classification.</w:t>
            </w:r>
          </w:p>
        </w:tc>
      </w:tr>
      <w:tr>
        <w:tc>
          <w:tcPr>
            <w:tcW w:type="dxa" w:w="1440"/>
          </w:tcPr>
          <w:p>
            <w:pPr>
              <w:spacing w:before="40" w:after="40" w:line="252" w:lineRule="auto"/>
              <w:jc w:val="left"/>
            </w:pPr>
            <w:r>
              <w:rPr>
                <w:rFonts w:ascii="Times New Roman" w:hAnsi="Times New Roman"/>
                <w:sz w:val="18"/>
              </w:rPr>
              <w:t>Figure 3</w:t>
            </w:r>
          </w:p>
        </w:tc>
        <w:tc>
          <w:tcPr>
            <w:tcW w:type="dxa" w:w="2016"/>
          </w:tcPr>
          <w:p>
            <w:pPr>
              <w:spacing w:before="40" w:after="40" w:line="252" w:lineRule="auto"/>
              <w:jc w:val="left"/>
            </w:pPr>
            <w:r>
              <w:rPr>
                <w:rFonts w:ascii="Times New Roman" w:hAnsi="Times New Roman"/>
                <w:sz w:val="18"/>
              </w:rPr>
              <w:t>Pollution Control Adoption Rates</w:t>
            </w:r>
          </w:p>
        </w:tc>
        <w:tc>
          <w:tcPr>
            <w:tcW w:type="dxa" w:w="2304"/>
          </w:tcPr>
          <w:p>
            <w:pPr>
              <w:spacing w:before="40" w:after="40" w:line="252" w:lineRule="auto"/>
              <w:jc w:val="left"/>
            </w:pPr>
            <w:r>
              <w:rPr>
                <w:rFonts w:ascii="Times New Roman" w:hAnsi="Times New Roman"/>
                <w:sz w:val="18"/>
              </w:rPr>
              <w:t>SO2, PM, and Hg controls are &gt;80% concentrated in coal; NOx controls are ubiquitous (&gt;85%).</w:t>
            </w:r>
          </w:p>
        </w:tc>
        <w:tc>
          <w:tcPr>
            <w:tcW w:type="dxa" w:w="2160"/>
          </w:tcPr>
          <w:p>
            <w:pPr>
              <w:spacing w:before="40" w:after="40" w:line="252" w:lineRule="auto"/>
              <w:jc w:val="left"/>
            </w:pPr>
            <w:r>
              <w:rPr>
                <w:rFonts w:ascii="Times New Roman" w:hAnsi="Times New Roman"/>
                <w:sz w:val="18"/>
              </w:rPr>
              <w:t>Provides empirical evidence of regulatory standard enforcement under ARP and MATS.</w:t>
            </w:r>
          </w:p>
        </w:tc>
        <w:tc>
          <w:tcPr>
            <w:tcW w:type="dxa" w:w="2160"/>
          </w:tcPr>
          <w:p>
            <w:pPr>
              <w:spacing w:before="40" w:after="40" w:line="252" w:lineRule="auto"/>
              <w:jc w:val="left"/>
            </w:pPr>
            <w:r>
              <w:rPr>
                <w:rFonts w:ascii="Times New Roman" w:hAnsi="Times New Roman"/>
                <w:sz w:val="18"/>
              </w:rPr>
              <w:t>Engineer Control_Count feature to capture unit environmental compliance burden.</w:t>
            </w:r>
          </w:p>
        </w:tc>
      </w:tr>
      <w:tr>
        <w:tc>
          <w:tcPr>
            <w:tcW w:type="dxa" w:w="1440"/>
            <w:shd w:fill="FAFAFA"/>
          </w:tcPr>
          <w:p>
            <w:pPr>
              <w:spacing w:before="40" w:after="40" w:line="252" w:lineRule="auto"/>
              <w:jc w:val="left"/>
            </w:pPr>
            <w:r>
              <w:rPr>
                <w:rFonts w:ascii="Times New Roman" w:hAnsi="Times New Roman"/>
                <w:sz w:val="18"/>
              </w:rPr>
              <w:t>Figure 4</w:t>
            </w:r>
          </w:p>
        </w:tc>
        <w:tc>
          <w:tcPr>
            <w:tcW w:type="dxa" w:w="2016"/>
            <w:shd w:fill="FAFAFA"/>
          </w:tcPr>
          <w:p>
            <w:pPr>
              <w:spacing w:before="40" w:after="40" w:line="252" w:lineRule="auto"/>
              <w:jc w:val="left"/>
            </w:pPr>
            <w:r>
              <w:rPr>
                <w:rFonts w:ascii="Times New Roman" w:hAnsi="Times New Roman"/>
                <w:sz w:val="18"/>
              </w:rPr>
              <w:t>Correlation Matrix Heatmap</w:t>
            </w:r>
          </w:p>
        </w:tc>
        <w:tc>
          <w:tcPr>
            <w:tcW w:type="dxa" w:w="2304"/>
            <w:shd w:fill="FAFAFA"/>
          </w:tcPr>
          <w:p>
            <w:pPr>
              <w:spacing w:before="40" w:after="40" w:line="252" w:lineRule="auto"/>
              <w:jc w:val="left"/>
            </w:pPr>
            <w:r>
              <w:rPr>
                <w:rFonts w:ascii="Times New Roman" w:hAnsi="Times New Roman"/>
                <w:sz w:val="18"/>
              </w:rPr>
              <w:t>Capacity is dominant linear correlate of heat input (r = 0.869); Age shows modest positive r = 0.119.</w:t>
            </w:r>
          </w:p>
        </w:tc>
        <w:tc>
          <w:tcPr>
            <w:tcW w:type="dxa" w:w="2160"/>
            <w:shd w:fill="FAFAFA"/>
          </w:tcPr>
          <w:p>
            <w:pPr>
              <w:spacing w:before="40" w:after="40" w:line="252" w:lineRule="auto"/>
              <w:jc w:val="left"/>
            </w:pPr>
            <w:r>
              <w:rPr>
                <w:rFonts w:ascii="Times New Roman" w:hAnsi="Times New Roman"/>
                <w:sz w:val="18"/>
              </w:rPr>
              <w:t>Directly informs RQ3 bivariate regression and multicollinearity safeguards.</w:t>
            </w:r>
          </w:p>
        </w:tc>
        <w:tc>
          <w:tcPr>
            <w:tcW w:type="dxa" w:w="2160"/>
            <w:shd w:fill="FAFAFA"/>
          </w:tcPr>
          <w:p>
            <w:pPr>
              <w:spacing w:before="40" w:after="40" w:line="252" w:lineRule="auto"/>
              <w:jc w:val="left"/>
            </w:pPr>
            <w:r>
              <w:rPr>
                <w:rFonts w:ascii="Times New Roman" w:hAnsi="Times New Roman"/>
                <w:sz w:val="18"/>
              </w:rPr>
              <w:t>Standardize continuous variables for regression and clustering pipelines.</w:t>
            </w:r>
          </w:p>
        </w:tc>
      </w:tr>
    </w:tbl>
    <w:p>
      <w:pPr>
        <w:spacing w:before="60" w:after="240"/>
      </w:pPr>
      <w:r>
        <w:rPr>
          <w:rFonts w:ascii="Times New Roman" w:hAnsi="Times New Roman"/>
          <w:i/>
          <w:sz w:val="18"/>
        </w:rPr>
        <w:t xml:space="preserve">Note. </w:t>
      </w:r>
      <w:r>
        <w:rPr>
          <w:rFonts w:ascii="Times New Roman" w:hAnsi="Times New Roman"/>
          <w:sz w:val="18"/>
        </w:rPr>
        <w:t>Structured synthesis of exploratory findings, operational interpretations, and modeling decisions.</w:t>
      </w:r>
    </w:p>
    <w:p>
      <w:pPr>
        <w:keepNext/>
        <w:spacing w:before="320" w:after="160"/>
        <w:jc w:val="center"/>
      </w:pPr>
      <w:r>
        <w:rPr>
          <w:rFonts w:ascii="Times New Roman" w:hAnsi="Times New Roman"/>
          <w:b/>
          <w:color w:val="0F2240"/>
          <w:sz w:val="28"/>
        </w:rPr>
        <w:t>5. Modelling Framework</w:t>
      </w:r>
    </w:p>
    <w:p>
      <w:pPr>
        <w:keepNext/>
        <w:spacing w:before="240" w:after="120"/>
        <w:jc w:val="left"/>
      </w:pPr>
      <w:r>
        <w:rPr>
          <w:rFonts w:ascii="Times New Roman" w:hAnsi="Times New Roman"/>
          <w:b/>
          <w:color w:val="19375F"/>
          <w:sz w:val="24"/>
        </w:rPr>
        <w:t>Choice of Models with Justification</w:t>
      </w:r>
    </w:p>
    <w:p>
      <w:pPr>
        <w:spacing w:after="120" w:line="276" w:lineRule="auto"/>
        <w:jc w:val="left"/>
      </w:pPr>
      <w:r>
        <w:rPr>
          <w:rFonts w:ascii="Times New Roman" w:hAnsi="Times New Roman"/>
          <w:i w:val="0"/>
          <w:sz w:val="22"/>
        </w:rPr>
        <w:t>To address the four research questions comprehensively, a multi-tier analytical modeling framework was constructed, combining inferential statistical hypothesis testing, parametric regression, supervised ensemble classification, and unsupervised clustering:</w:t>
      </w:r>
    </w:p>
    <w:p>
      <w:pPr>
        <w:spacing w:after="120" w:line="276" w:lineRule="auto"/>
        <w:jc w:val="left"/>
      </w:pPr>
      <w:r>
        <w:rPr>
          <w:rFonts w:ascii="Times New Roman" w:hAnsi="Times New Roman"/>
          <w:b/>
          <w:sz w:val="22"/>
        </w:rPr>
        <w:t xml:space="preserve">Model 1 (Inferential Group Comparison): </w:t>
      </w:r>
      <w:r>
        <w:rPr>
          <w:rFonts w:ascii="Times New Roman" w:hAnsi="Times New Roman"/>
          <w:i w:val="0"/>
          <w:sz w:val="22"/>
        </w:rPr>
        <w:t>One-Way ANOVA and Kruskal-Wallis Rank Sum Testing (RQ1). One-Way ANOVA was selected to evaluate the parametric null hypothesis of equal group means across fuel categories. Because thermal operational data exhibit right-skewness and unequal group variances (Levene test p &lt; 0.001), the non-parametric Kruskal-Wallis test (Kruskal &amp; Wallis, 1952) was deployed concurrently. Post-hoc pairwise contrasts were conducted via Tukey's Honestly Significant Difference (HSD) test with family-wise error rate control at α = 0.05.</w:t>
      </w:r>
    </w:p>
    <w:p>
      <w:pPr>
        <w:spacing w:after="120" w:line="276" w:lineRule="auto"/>
        <w:jc w:val="left"/>
      </w:pPr>
      <w:r>
        <w:rPr>
          <w:rFonts w:ascii="Times New Roman" w:hAnsi="Times New Roman"/>
          <w:b/>
          <w:sz w:val="22"/>
        </w:rPr>
        <w:t xml:space="preserve">Model 2 (Supervised Linear Classification): </w:t>
      </w:r>
      <w:r>
        <w:rPr>
          <w:rFonts w:ascii="Times New Roman" w:hAnsi="Times New Roman"/>
          <w:i w:val="0"/>
          <w:sz w:val="22"/>
        </w:rPr>
        <w:t>Regularized Logistic Regression (RQ2 Baseline). Logistic regression provides an interpretable, mathematically rigorous probabilistic baseline for binary classification. L2 Ridge penalty regularization was implemented with class-weight balancing to mitigate minority class under-sampling and prevent overfitting among collinear technology dummy variables.</w:t>
      </w:r>
    </w:p>
    <w:p>
      <w:pPr>
        <w:spacing w:after="120" w:line="276" w:lineRule="auto"/>
        <w:jc w:val="left"/>
      </w:pPr>
      <w:r>
        <w:rPr>
          <w:rFonts w:ascii="Times New Roman" w:hAnsi="Times New Roman"/>
          <w:b/>
          <w:sz w:val="22"/>
        </w:rPr>
        <w:t xml:space="preserve">Model 3 (Supervised Non-Linear Ensemble): </w:t>
      </w:r>
      <w:r>
        <w:rPr>
          <w:rFonts w:ascii="Times New Roman" w:hAnsi="Times New Roman"/>
          <w:i w:val="0"/>
          <w:sz w:val="22"/>
        </w:rPr>
        <w:t>Random Forest Ensemble Classifier (RQ2 Primary). Random Forest (Breiman, 2001) was selected due to its superior capability in handling non-linear boundaries, high-order feature interactions, and mixed continuous/categorical inputs. Operating via bootstrap aggregation (150 estimators, max depth = 10, balanced sub-sampling), Random Forest provides robust Mean Decrease in Impurity (Gini importance) metrics without requiring restrictive distributional assumptions.</w:t>
      </w:r>
    </w:p>
    <w:p>
      <w:pPr>
        <w:spacing w:after="120" w:line="276" w:lineRule="auto"/>
        <w:jc w:val="left"/>
      </w:pPr>
      <w:r>
        <w:rPr>
          <w:rFonts w:ascii="Times New Roman" w:hAnsi="Times New Roman"/>
          <w:b/>
          <w:sz w:val="22"/>
        </w:rPr>
        <w:t xml:space="preserve">Model 4 (Gradient Boosted Decision Trees): </w:t>
      </w:r>
      <w:r>
        <w:rPr>
          <w:rFonts w:ascii="Times New Roman" w:hAnsi="Times New Roman"/>
          <w:i w:val="0"/>
          <w:sz w:val="22"/>
        </w:rPr>
        <w:t>Gradient Boosting Machine Classifier (RQ2 Benchmark). Gradient Boosting (Friedman, 2001) was deployed as a competitive benchmark. By sequentially minimizing binomial deviance loss through gradient-steepest descent across shallow decision trees (100 estimators, learning rate = 0.1, depth = 5), Gradient Boosting provides optimal discriminative boundaries for complex decision surfaces.</w:t>
      </w:r>
    </w:p>
    <w:p>
      <w:pPr>
        <w:spacing w:after="120" w:line="276" w:lineRule="auto"/>
        <w:jc w:val="left"/>
      </w:pPr>
      <w:r>
        <w:rPr>
          <w:rFonts w:ascii="Times New Roman" w:hAnsi="Times New Roman"/>
          <w:b/>
          <w:sz w:val="22"/>
        </w:rPr>
        <w:t xml:space="preserve">Model 5 (Parametric Regression): </w:t>
      </w:r>
      <w:r>
        <w:rPr>
          <w:rFonts w:ascii="Times New Roman" w:hAnsi="Times New Roman"/>
          <w:i w:val="0"/>
          <w:sz w:val="22"/>
        </w:rPr>
        <w:t>Ordinary Least Squares (OLS) Regression (RQ3). Bivariate and multivariate linear regressions (Montgomery et al., 2021) were formulated to quantify the marginal effect of unit vintage (Age) on thermal heat input capacity, both independently and while controlling for total installed capacity (MWe) and pollution control equipment.</w:t>
      </w:r>
    </w:p>
    <w:p>
      <w:pPr>
        <w:spacing w:after="240" w:line="276" w:lineRule="auto"/>
        <w:jc w:val="left"/>
      </w:pPr>
      <w:r>
        <w:rPr>
          <w:rFonts w:ascii="Times New Roman" w:hAnsi="Times New Roman"/>
          <w:b/>
          <w:sz w:val="22"/>
        </w:rPr>
        <w:t xml:space="preserve">Model 6 (Unsupervised Segmentation &amp; PCA): </w:t>
      </w:r>
      <w:r>
        <w:rPr>
          <w:rFonts w:ascii="Times New Roman" w:hAnsi="Times New Roman"/>
          <w:i w:val="0"/>
          <w:sz w:val="22"/>
        </w:rPr>
        <w:t>K-Means Clustering and Principal Component Analysis (RQ4). K-Means unsupervised clustering (MacQueen, 1967) was utilized to partition the generating fleet into cohesive operational archetypes. Optimal cluster count k was determined via Within-Cluster Sum of Squares (Elbow method) and Silhouette coefficient optimization. 2D projection was executed via Principal Component Analysis (PCA) to validate dimensional separation and explain orthogonal variance axes.</w:t>
      </w:r>
    </w:p>
    <w:p>
      <w:pPr>
        <w:keepNext/>
        <w:spacing w:before="240" w:after="120"/>
        <w:jc w:val="left"/>
      </w:pPr>
      <w:r>
        <w:rPr>
          <w:rFonts w:ascii="Times New Roman" w:hAnsi="Times New Roman"/>
          <w:b/>
          <w:color w:val="19375F"/>
          <w:sz w:val="24"/>
        </w:rPr>
        <w:t>Features Included and Feature Engineering</w:t>
      </w:r>
    </w:p>
    <w:p>
      <w:pPr>
        <w:spacing w:after="120" w:line="276" w:lineRule="auto"/>
        <w:jc w:val="left"/>
      </w:pPr>
      <w:r>
        <w:rPr>
          <w:rFonts w:ascii="Times New Roman" w:hAnsi="Times New Roman"/>
          <w:i w:val="0"/>
          <w:sz w:val="22"/>
        </w:rPr>
        <w:t>Table 6 details the feature set utilized across the predictive and unsupervised modeling architectures, specifying original versus engineered derivation, data type, operational inclusion rationale, and model utilization.</w:t>
      </w:r>
    </w:p>
    <w:p>
      <w:pPr>
        <w:keepNext/>
        <w:spacing w:before="240" w:after="40"/>
      </w:pPr>
      <w:r>
        <w:rPr>
          <w:rFonts w:ascii="Times New Roman" w:hAnsi="Times New Roman"/>
          <w:b/>
          <w:sz w:val="22"/>
        </w:rPr>
        <w:t>Table 6</w:t>
      </w:r>
    </w:p>
    <w:p>
      <w:pPr>
        <w:keepNext/>
        <w:spacing w:before="0" w:after="120"/>
      </w:pPr>
      <w:r>
        <w:rPr>
          <w:rFonts w:ascii="Times New Roman" w:hAnsi="Times New Roman"/>
          <w:i/>
          <w:sz w:val="22"/>
        </w:rPr>
        <w:t>Feature Set and Usage Specification</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Feature Name</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Original / Engineered</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Type</w:t>
            </w:r>
          </w:p>
        </w:tc>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Reason for Inclusion</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Used in Model(s)</w:t>
            </w:r>
          </w:p>
        </w:tc>
      </w:tr>
      <w:tr>
        <w:tc>
          <w:tcPr>
            <w:tcW w:type="dxa" w:w="1728"/>
          </w:tcPr>
          <w:p>
            <w:pPr>
              <w:spacing w:before="40" w:after="40" w:line="252" w:lineRule="auto"/>
              <w:jc w:val="left"/>
            </w:pPr>
            <w:r>
              <w:rPr>
                <w:rFonts w:ascii="Times New Roman" w:hAnsi="Times New Roman"/>
                <w:sz w:val="18"/>
              </w:rPr>
              <w:t>Capacity_MW</w:t>
            </w:r>
          </w:p>
        </w:tc>
        <w:tc>
          <w:tcPr>
            <w:tcW w:type="dxa" w:w="2016"/>
          </w:tcPr>
          <w:p>
            <w:pPr>
              <w:spacing w:before="40" w:after="40" w:line="252" w:lineRule="auto"/>
              <w:jc w:val="left"/>
            </w:pPr>
            <w:r>
              <w:rPr>
                <w:rFonts w:ascii="Times New Roman" w:hAnsi="Times New Roman"/>
                <w:sz w:val="18"/>
              </w:rPr>
              <w:t>Engineered (Regex parsed from text)</w:t>
            </w:r>
          </w:p>
        </w:tc>
        <w:tc>
          <w:tcPr>
            <w:tcW w:type="dxa" w:w="1584"/>
          </w:tcPr>
          <w:p>
            <w:pPr>
              <w:spacing w:before="40" w:after="40" w:line="252" w:lineRule="auto"/>
              <w:jc w:val="left"/>
            </w:pPr>
            <w:r>
              <w:rPr>
                <w:rFonts w:ascii="Times New Roman" w:hAnsi="Times New Roman"/>
                <w:sz w:val="18"/>
              </w:rPr>
              <w:t>Float (Continuous)</w:t>
            </w:r>
          </w:p>
        </w:tc>
        <w:tc>
          <w:tcPr>
            <w:tcW w:type="dxa" w:w="2592"/>
          </w:tcPr>
          <w:p>
            <w:pPr>
              <w:spacing w:before="40" w:after="40" w:line="252" w:lineRule="auto"/>
              <w:jc w:val="left"/>
            </w:pPr>
            <w:r>
              <w:rPr>
                <w:rFonts w:ascii="Times New Roman" w:hAnsi="Times New Roman"/>
                <w:sz w:val="18"/>
              </w:rPr>
              <w:t>Fundamental measure of electrical power output scale.</w:t>
            </w:r>
          </w:p>
        </w:tc>
        <w:tc>
          <w:tcPr>
            <w:tcW w:type="dxa" w:w="2160"/>
          </w:tcPr>
          <w:p>
            <w:pPr>
              <w:spacing w:before="40" w:after="40" w:line="252" w:lineRule="auto"/>
              <w:jc w:val="left"/>
            </w:pPr>
            <w:r>
              <w:rPr>
                <w:rFonts w:ascii="Times New Roman" w:hAnsi="Times New Roman"/>
                <w:sz w:val="18"/>
              </w:rPr>
              <w:t>LR, RF, GB, OLS, K-Means, PCA</w:t>
            </w:r>
          </w:p>
        </w:tc>
      </w:tr>
      <w:tr>
        <w:tc>
          <w:tcPr>
            <w:tcW w:type="dxa" w:w="1728"/>
            <w:shd w:fill="FAFAFA"/>
          </w:tcPr>
          <w:p>
            <w:pPr>
              <w:spacing w:before="40" w:after="40" w:line="252" w:lineRule="auto"/>
              <w:jc w:val="left"/>
            </w:pPr>
            <w:r>
              <w:rPr>
                <w:rFonts w:ascii="Times New Roman" w:hAnsi="Times New Roman"/>
                <w:sz w:val="18"/>
              </w:rPr>
              <w:t>Unit_Age</w:t>
            </w:r>
          </w:p>
        </w:tc>
        <w:tc>
          <w:tcPr>
            <w:tcW w:type="dxa" w:w="2016"/>
            <w:shd w:fill="FAFAFA"/>
          </w:tcPr>
          <w:p>
            <w:pPr>
              <w:spacing w:before="40" w:after="40" w:line="252" w:lineRule="auto"/>
              <w:jc w:val="left"/>
            </w:pPr>
            <w:r>
              <w:rPr>
                <w:rFonts w:ascii="Times New Roman" w:hAnsi="Times New Roman"/>
                <w:sz w:val="18"/>
              </w:rPr>
              <w:t>Engineered (2025 - Commercial_Year)</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Captures unit vintage, regulatory grandfathering, and technological era.</w:t>
            </w:r>
          </w:p>
        </w:tc>
        <w:tc>
          <w:tcPr>
            <w:tcW w:type="dxa" w:w="2160"/>
            <w:shd w:fill="FAFAFA"/>
          </w:tcPr>
          <w:p>
            <w:pPr>
              <w:spacing w:before="40" w:after="40" w:line="252" w:lineRule="auto"/>
              <w:jc w:val="left"/>
            </w:pPr>
            <w:r>
              <w:rPr>
                <w:rFonts w:ascii="Times New Roman" w:hAnsi="Times New Roman"/>
                <w:sz w:val="18"/>
              </w:rPr>
              <w:t>LR, RF, GB, OLS, K-Means, PCA</w:t>
            </w:r>
          </w:p>
        </w:tc>
      </w:tr>
      <w:tr>
        <w:tc>
          <w:tcPr>
            <w:tcW w:type="dxa" w:w="1728"/>
          </w:tcPr>
          <w:p>
            <w:pPr>
              <w:spacing w:before="40" w:after="40" w:line="252" w:lineRule="auto"/>
              <w:jc w:val="left"/>
            </w:pPr>
            <w:r>
              <w:rPr>
                <w:rFonts w:ascii="Times New Roman" w:hAnsi="Times New Roman"/>
                <w:sz w:val="18"/>
              </w:rPr>
              <w:t>Control_Count</w:t>
            </w:r>
          </w:p>
        </w:tc>
        <w:tc>
          <w:tcPr>
            <w:tcW w:type="dxa" w:w="2016"/>
          </w:tcPr>
          <w:p>
            <w:pPr>
              <w:spacing w:before="40" w:after="40" w:line="252" w:lineRule="auto"/>
              <w:jc w:val="left"/>
            </w:pPr>
            <w:r>
              <w:rPr>
                <w:rFonts w:ascii="Times New Roman" w:hAnsi="Times New Roman"/>
                <w:sz w:val="18"/>
              </w:rPr>
              <w:t>Engineered (Sum of SO2, NOx, PM, Hg)</w:t>
            </w:r>
          </w:p>
        </w:tc>
        <w:tc>
          <w:tcPr>
            <w:tcW w:type="dxa" w:w="1584"/>
          </w:tcPr>
          <w:p>
            <w:pPr>
              <w:spacing w:before="40" w:after="40" w:line="252" w:lineRule="auto"/>
              <w:jc w:val="left"/>
            </w:pPr>
            <w:r>
              <w:rPr>
                <w:rFonts w:ascii="Times New Roman" w:hAnsi="Times New Roman"/>
                <w:sz w:val="18"/>
              </w:rPr>
              <w:t>Integer (Discrete)</w:t>
            </w:r>
          </w:p>
        </w:tc>
        <w:tc>
          <w:tcPr>
            <w:tcW w:type="dxa" w:w="2592"/>
          </w:tcPr>
          <w:p>
            <w:pPr>
              <w:spacing w:before="40" w:after="40" w:line="252" w:lineRule="auto"/>
              <w:jc w:val="left"/>
            </w:pPr>
            <w:r>
              <w:rPr>
                <w:rFonts w:ascii="Times New Roman" w:hAnsi="Times New Roman"/>
                <w:sz w:val="18"/>
              </w:rPr>
              <w:t>Quantifies overall capital investment in emission abatement hardware.</w:t>
            </w:r>
          </w:p>
        </w:tc>
        <w:tc>
          <w:tcPr>
            <w:tcW w:type="dxa" w:w="2160"/>
          </w:tcPr>
          <w:p>
            <w:pPr>
              <w:spacing w:before="40" w:after="40" w:line="252" w:lineRule="auto"/>
              <w:jc w:val="left"/>
            </w:pPr>
            <w:r>
              <w:rPr>
                <w:rFonts w:ascii="Times New Roman" w:hAnsi="Times New Roman"/>
                <w:sz w:val="18"/>
              </w:rPr>
              <w:t>LR, RF, GB, OLS, K-Means, PCA</w:t>
            </w:r>
          </w:p>
        </w:tc>
      </w:tr>
      <w:tr>
        <w:tc>
          <w:tcPr>
            <w:tcW w:type="dxa" w:w="1728"/>
            <w:shd w:fill="FAFAFA"/>
          </w:tcPr>
          <w:p>
            <w:pPr>
              <w:spacing w:before="40" w:after="40" w:line="252" w:lineRule="auto"/>
              <w:jc w:val="left"/>
            </w:pPr>
            <w:r>
              <w:rPr>
                <w:rFonts w:ascii="Times New Roman" w:hAnsi="Times New Roman"/>
                <w:sz w:val="18"/>
              </w:rPr>
              <w:t>Heat_Input_Rate</w:t>
            </w:r>
          </w:p>
        </w:tc>
        <w:tc>
          <w:tcPr>
            <w:tcW w:type="dxa" w:w="2016"/>
            <w:shd w:fill="FAFAFA"/>
          </w:tcPr>
          <w:p>
            <w:pPr>
              <w:spacing w:before="40" w:after="40" w:line="252" w:lineRule="auto"/>
              <w:jc w:val="left"/>
            </w:pPr>
            <w:r>
              <w:rPr>
                <w:rFonts w:ascii="Times New Roman" w:hAnsi="Times New Roman"/>
                <w:sz w:val="18"/>
              </w:rPr>
              <w:t>Standardized (Max Hourly HI Rate)</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Direct physical measure of combustion capacity and thermal loading.</w:t>
            </w:r>
          </w:p>
        </w:tc>
        <w:tc>
          <w:tcPr>
            <w:tcW w:type="dxa" w:w="2160"/>
            <w:shd w:fill="FAFAFA"/>
          </w:tcPr>
          <w:p>
            <w:pPr>
              <w:spacing w:before="40" w:after="40" w:line="252" w:lineRule="auto"/>
              <w:jc w:val="left"/>
            </w:pPr>
            <w:r>
              <w:rPr>
                <w:rFonts w:ascii="Times New Roman" w:hAnsi="Times New Roman"/>
                <w:sz w:val="18"/>
              </w:rPr>
              <w:t>Target in RQ1, RQ3; Used in K-Means</w:t>
            </w:r>
          </w:p>
        </w:tc>
      </w:tr>
      <w:tr>
        <w:tc>
          <w:tcPr>
            <w:tcW w:type="dxa" w:w="1728"/>
          </w:tcPr>
          <w:p>
            <w:pPr>
              <w:spacing w:before="40" w:after="40" w:line="252" w:lineRule="auto"/>
              <w:jc w:val="left"/>
            </w:pPr>
            <w:r>
              <w:rPr>
                <w:rFonts w:ascii="Times New Roman" w:hAnsi="Times New Roman"/>
                <w:sz w:val="18"/>
              </w:rPr>
              <w:t>Fuel_Category</w:t>
            </w:r>
          </w:p>
        </w:tc>
        <w:tc>
          <w:tcPr>
            <w:tcW w:type="dxa" w:w="2016"/>
          </w:tcPr>
          <w:p>
            <w:pPr>
              <w:spacing w:before="40" w:after="40" w:line="252" w:lineRule="auto"/>
              <w:jc w:val="left"/>
            </w:pPr>
            <w:r>
              <w:rPr>
                <w:rFonts w:ascii="Times New Roman" w:hAnsi="Times New Roman"/>
                <w:sz w:val="18"/>
              </w:rPr>
              <w:t>Engineered (Consolidated from 12 codes)</w:t>
            </w:r>
          </w:p>
        </w:tc>
        <w:tc>
          <w:tcPr>
            <w:tcW w:type="dxa" w:w="1584"/>
          </w:tcPr>
          <w:p>
            <w:pPr>
              <w:spacing w:before="40" w:after="40" w:line="252" w:lineRule="auto"/>
              <w:jc w:val="left"/>
            </w:pPr>
            <w:r>
              <w:rPr>
                <w:rFonts w:ascii="Times New Roman" w:hAnsi="Times New Roman"/>
                <w:sz w:val="18"/>
              </w:rPr>
              <w:t>Categorical (5 classes)</w:t>
            </w:r>
          </w:p>
        </w:tc>
        <w:tc>
          <w:tcPr>
            <w:tcW w:type="dxa" w:w="2592"/>
          </w:tcPr>
          <w:p>
            <w:pPr>
              <w:spacing w:before="40" w:after="40" w:line="252" w:lineRule="auto"/>
              <w:jc w:val="left"/>
            </w:pPr>
            <w:r>
              <w:rPr>
                <w:rFonts w:ascii="Times New Roman" w:hAnsi="Times New Roman"/>
                <w:sz w:val="18"/>
              </w:rPr>
              <w:t>Captures combustion chemistry and primary emission factors.</w:t>
            </w:r>
          </w:p>
        </w:tc>
        <w:tc>
          <w:tcPr>
            <w:tcW w:type="dxa" w:w="2160"/>
          </w:tcPr>
          <w:p>
            <w:pPr>
              <w:spacing w:before="40" w:after="40" w:line="252" w:lineRule="auto"/>
              <w:jc w:val="left"/>
            </w:pPr>
            <w:r>
              <w:rPr>
                <w:rFonts w:ascii="Times New Roman" w:hAnsi="Times New Roman"/>
                <w:sz w:val="18"/>
              </w:rPr>
              <w:t>ANOVA, KW, LR, RF, GB</w:t>
            </w:r>
          </w:p>
        </w:tc>
      </w:tr>
      <w:tr>
        <w:tc>
          <w:tcPr>
            <w:tcW w:type="dxa" w:w="1728"/>
            <w:shd w:fill="FAFAFA"/>
          </w:tcPr>
          <w:p>
            <w:pPr>
              <w:spacing w:before="40" w:after="40" w:line="252" w:lineRule="auto"/>
              <w:jc w:val="left"/>
            </w:pPr>
            <w:r>
              <w:rPr>
                <w:rFonts w:ascii="Times New Roman" w:hAnsi="Times New Roman"/>
                <w:sz w:val="18"/>
              </w:rPr>
              <w:t>Unit_Type_Category</w:t>
            </w:r>
          </w:p>
        </w:tc>
        <w:tc>
          <w:tcPr>
            <w:tcW w:type="dxa" w:w="2016"/>
            <w:shd w:fill="FAFAFA"/>
          </w:tcPr>
          <w:p>
            <w:pPr>
              <w:spacing w:before="40" w:after="40" w:line="252" w:lineRule="auto"/>
              <w:jc w:val="left"/>
            </w:pPr>
            <w:r>
              <w:rPr>
                <w:rFonts w:ascii="Times New Roman" w:hAnsi="Times New Roman"/>
                <w:sz w:val="18"/>
              </w:rPr>
              <w:t>Engineered (Consolidated from 33 codes)</w:t>
            </w:r>
          </w:p>
        </w:tc>
        <w:tc>
          <w:tcPr>
            <w:tcW w:type="dxa" w:w="1584"/>
            <w:shd w:fill="FAFAFA"/>
          </w:tcPr>
          <w:p>
            <w:pPr>
              <w:spacing w:before="40" w:after="40" w:line="252" w:lineRule="auto"/>
              <w:jc w:val="left"/>
            </w:pPr>
            <w:r>
              <w:rPr>
                <w:rFonts w:ascii="Times New Roman" w:hAnsi="Times New Roman"/>
                <w:sz w:val="18"/>
              </w:rPr>
              <w:t>Categorical (5 classes)</w:t>
            </w:r>
          </w:p>
        </w:tc>
        <w:tc>
          <w:tcPr>
            <w:tcW w:type="dxa" w:w="2592"/>
            <w:shd w:fill="FAFAFA"/>
          </w:tcPr>
          <w:p>
            <w:pPr>
              <w:spacing w:before="40" w:after="40" w:line="252" w:lineRule="auto"/>
              <w:jc w:val="left"/>
            </w:pPr>
            <w:r>
              <w:rPr>
                <w:rFonts w:ascii="Times New Roman" w:hAnsi="Times New Roman"/>
                <w:sz w:val="18"/>
              </w:rPr>
              <w:t>Distinguishes thermodynamic cycles (Brayton vs Rankine).</w:t>
            </w:r>
          </w:p>
        </w:tc>
        <w:tc>
          <w:tcPr>
            <w:tcW w:type="dxa" w:w="2160"/>
            <w:shd w:fill="FAFAFA"/>
          </w:tcPr>
          <w:p>
            <w:pPr>
              <w:spacing w:before="40" w:after="40" w:line="252" w:lineRule="auto"/>
              <w:jc w:val="left"/>
            </w:pPr>
            <w:r>
              <w:rPr>
                <w:rFonts w:ascii="Times New Roman" w:hAnsi="Times New Roman"/>
                <w:sz w:val="18"/>
              </w:rPr>
              <w:t>LR, RF, GB</w:t>
            </w:r>
          </w:p>
        </w:tc>
      </w:tr>
      <w:tr>
        <w:tc>
          <w:tcPr>
            <w:tcW w:type="dxa" w:w="1728"/>
          </w:tcPr>
          <w:p>
            <w:pPr>
              <w:spacing w:before="40" w:after="40" w:line="252" w:lineRule="auto"/>
              <w:jc w:val="left"/>
            </w:pPr>
            <w:r>
              <w:rPr>
                <w:rFonts w:ascii="Times New Roman" w:hAnsi="Times New Roman"/>
                <w:sz w:val="18"/>
              </w:rPr>
              <w:t>EPA Region</w:t>
            </w:r>
          </w:p>
        </w:tc>
        <w:tc>
          <w:tcPr>
            <w:tcW w:type="dxa" w:w="2016"/>
          </w:tcPr>
          <w:p>
            <w:pPr>
              <w:spacing w:before="40" w:after="40" w:line="252" w:lineRule="auto"/>
              <w:jc w:val="left"/>
            </w:pPr>
            <w:r>
              <w:rPr>
                <w:rFonts w:ascii="Times New Roman" w:hAnsi="Times New Roman"/>
                <w:sz w:val="18"/>
              </w:rPr>
              <w:t>Original CAMPD attribute</w:t>
            </w:r>
          </w:p>
        </w:tc>
        <w:tc>
          <w:tcPr>
            <w:tcW w:type="dxa" w:w="1584"/>
          </w:tcPr>
          <w:p>
            <w:pPr>
              <w:spacing w:before="40" w:after="40" w:line="252" w:lineRule="auto"/>
              <w:jc w:val="left"/>
            </w:pPr>
            <w:r>
              <w:rPr>
                <w:rFonts w:ascii="Times New Roman" w:hAnsi="Times New Roman"/>
                <w:sz w:val="18"/>
              </w:rPr>
              <w:t>Integer / Categorical (1-10)</w:t>
            </w:r>
          </w:p>
        </w:tc>
        <w:tc>
          <w:tcPr>
            <w:tcW w:type="dxa" w:w="2592"/>
          </w:tcPr>
          <w:p>
            <w:pPr>
              <w:spacing w:before="40" w:after="40" w:line="252" w:lineRule="auto"/>
              <w:jc w:val="left"/>
            </w:pPr>
            <w:r>
              <w:rPr>
                <w:rFonts w:ascii="Times New Roman" w:hAnsi="Times New Roman"/>
                <w:sz w:val="18"/>
              </w:rPr>
              <w:t>Controls for regional regulatory oversight and regional transmission grids.</w:t>
            </w:r>
          </w:p>
        </w:tc>
        <w:tc>
          <w:tcPr>
            <w:tcW w:type="dxa" w:w="2160"/>
          </w:tcPr>
          <w:p>
            <w:pPr>
              <w:spacing w:before="40" w:after="40" w:line="252" w:lineRule="auto"/>
              <w:jc w:val="left"/>
            </w:pPr>
            <w:r>
              <w:rPr>
                <w:rFonts w:ascii="Times New Roman" w:hAnsi="Times New Roman"/>
                <w:sz w:val="18"/>
              </w:rPr>
              <w:t>LR, RF, GB</w:t>
            </w:r>
          </w:p>
        </w:tc>
      </w:tr>
      <w:tr>
        <w:tc>
          <w:tcPr>
            <w:tcW w:type="dxa" w:w="1728"/>
            <w:shd w:fill="FAFAFA"/>
          </w:tcPr>
          <w:p>
            <w:pPr>
              <w:spacing w:before="40" w:after="40" w:line="252" w:lineRule="auto"/>
              <w:jc w:val="left"/>
            </w:pPr>
            <w:r>
              <w:rPr>
                <w:rFonts w:ascii="Times New Roman" w:hAnsi="Times New Roman"/>
                <w:sz w:val="18"/>
              </w:rPr>
              <w:t>Log_Capacity</w:t>
            </w:r>
          </w:p>
        </w:tc>
        <w:tc>
          <w:tcPr>
            <w:tcW w:type="dxa" w:w="2016"/>
            <w:shd w:fill="FAFAFA"/>
          </w:tcPr>
          <w:p>
            <w:pPr>
              <w:spacing w:before="40" w:after="40" w:line="252" w:lineRule="auto"/>
              <w:jc w:val="left"/>
            </w:pPr>
            <w:r>
              <w:rPr>
                <w:rFonts w:ascii="Times New Roman" w:hAnsi="Times New Roman"/>
                <w:sz w:val="18"/>
              </w:rPr>
              <w:t>Engineered (log1p of Capacity_MW)</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Compresses heavy-tailed capacity distribution for stable Euclidean distance.</w:t>
            </w:r>
          </w:p>
        </w:tc>
        <w:tc>
          <w:tcPr>
            <w:tcW w:type="dxa" w:w="2160"/>
            <w:shd w:fill="FAFAFA"/>
          </w:tcPr>
          <w:p>
            <w:pPr>
              <w:spacing w:before="40" w:after="40" w:line="252" w:lineRule="auto"/>
              <w:jc w:val="left"/>
            </w:pPr>
            <w:r>
              <w:rPr>
                <w:rFonts w:ascii="Times New Roman" w:hAnsi="Times New Roman"/>
                <w:sz w:val="18"/>
              </w:rPr>
              <w:t>K-Means, PCA</w:t>
            </w:r>
          </w:p>
        </w:tc>
      </w:tr>
      <w:tr>
        <w:tc>
          <w:tcPr>
            <w:tcW w:type="dxa" w:w="1728"/>
          </w:tcPr>
          <w:p>
            <w:pPr>
              <w:spacing w:before="40" w:after="40" w:line="252" w:lineRule="auto"/>
              <w:jc w:val="left"/>
            </w:pPr>
            <w:r>
              <w:rPr>
                <w:rFonts w:ascii="Times New Roman" w:hAnsi="Times New Roman"/>
                <w:sz w:val="18"/>
              </w:rPr>
              <w:t>Log_Heat_Input</w:t>
            </w:r>
          </w:p>
        </w:tc>
        <w:tc>
          <w:tcPr>
            <w:tcW w:type="dxa" w:w="2016"/>
          </w:tcPr>
          <w:p>
            <w:pPr>
              <w:spacing w:before="40" w:after="40" w:line="252" w:lineRule="auto"/>
              <w:jc w:val="left"/>
            </w:pPr>
            <w:r>
              <w:rPr>
                <w:rFonts w:ascii="Times New Roman" w:hAnsi="Times New Roman"/>
                <w:sz w:val="18"/>
              </w:rPr>
              <w:t>Engineered (log1p of Heat_Input_Rate)</w:t>
            </w:r>
          </w:p>
        </w:tc>
        <w:tc>
          <w:tcPr>
            <w:tcW w:type="dxa" w:w="1584"/>
          </w:tcPr>
          <w:p>
            <w:pPr>
              <w:spacing w:before="40" w:after="40" w:line="252" w:lineRule="auto"/>
              <w:jc w:val="left"/>
            </w:pPr>
            <w:r>
              <w:rPr>
                <w:rFonts w:ascii="Times New Roman" w:hAnsi="Times New Roman"/>
                <w:sz w:val="18"/>
              </w:rPr>
              <w:t>Float (Continuous)</w:t>
            </w:r>
          </w:p>
        </w:tc>
        <w:tc>
          <w:tcPr>
            <w:tcW w:type="dxa" w:w="2592"/>
          </w:tcPr>
          <w:p>
            <w:pPr>
              <w:spacing w:before="40" w:after="40" w:line="252" w:lineRule="auto"/>
              <w:jc w:val="left"/>
            </w:pPr>
            <w:r>
              <w:rPr>
                <w:rFonts w:ascii="Times New Roman" w:hAnsi="Times New Roman"/>
                <w:sz w:val="18"/>
              </w:rPr>
              <w:t>Mitigates extreme skewness in thermal loading for centroid optimization.</w:t>
            </w:r>
          </w:p>
        </w:tc>
        <w:tc>
          <w:tcPr>
            <w:tcW w:type="dxa" w:w="2160"/>
          </w:tcPr>
          <w:p>
            <w:pPr>
              <w:spacing w:before="40" w:after="40" w:line="252" w:lineRule="auto"/>
              <w:jc w:val="left"/>
            </w:pPr>
            <w:r>
              <w:rPr>
                <w:rFonts w:ascii="Times New Roman" w:hAnsi="Times New Roman"/>
                <w:sz w:val="18"/>
              </w:rPr>
              <w:t>K-Means, PCA</w:t>
            </w:r>
          </w:p>
        </w:tc>
      </w:tr>
      <w:tr>
        <w:tc>
          <w:tcPr>
            <w:tcW w:type="dxa" w:w="1728"/>
            <w:shd w:fill="FAFAFA"/>
          </w:tcPr>
          <w:p>
            <w:pPr>
              <w:spacing w:before="40" w:after="40" w:line="252" w:lineRule="auto"/>
              <w:jc w:val="left"/>
            </w:pPr>
            <w:r>
              <w:rPr>
                <w:rFonts w:ascii="Times New Roman" w:hAnsi="Times New Roman"/>
                <w:sz w:val="18"/>
              </w:rPr>
              <w:t>High_Emitter</w:t>
            </w:r>
          </w:p>
        </w:tc>
        <w:tc>
          <w:tcPr>
            <w:tcW w:type="dxa" w:w="2016"/>
            <w:shd w:fill="FAFAFA"/>
          </w:tcPr>
          <w:p>
            <w:pPr>
              <w:spacing w:before="40" w:after="40" w:line="252" w:lineRule="auto"/>
              <w:jc w:val="left"/>
            </w:pPr>
            <w:r>
              <w:rPr>
                <w:rFonts w:ascii="Times New Roman" w:hAnsi="Times New Roman"/>
                <w:sz w:val="18"/>
              </w:rPr>
              <w:t>Engineered (Binary cutoff ≥ 2,350 mmBtu/hr)</w:t>
            </w:r>
          </w:p>
        </w:tc>
        <w:tc>
          <w:tcPr>
            <w:tcW w:type="dxa" w:w="1584"/>
            <w:shd w:fill="FAFAFA"/>
          </w:tcPr>
          <w:p>
            <w:pPr>
              <w:spacing w:before="40" w:after="40" w:line="252" w:lineRule="auto"/>
              <w:jc w:val="left"/>
            </w:pPr>
            <w:r>
              <w:rPr>
                <w:rFonts w:ascii="Times New Roman" w:hAnsi="Times New Roman"/>
                <w:sz w:val="18"/>
              </w:rPr>
              <w:t>Binary (0, 1)</w:t>
            </w:r>
          </w:p>
        </w:tc>
        <w:tc>
          <w:tcPr>
            <w:tcW w:type="dxa" w:w="2592"/>
            <w:shd w:fill="FAFAFA"/>
          </w:tcPr>
          <w:p>
            <w:pPr>
              <w:spacing w:before="40" w:after="40" w:line="252" w:lineRule="auto"/>
              <w:jc w:val="left"/>
            </w:pPr>
            <w:r>
              <w:rPr>
                <w:rFonts w:ascii="Times New Roman" w:hAnsi="Times New Roman"/>
                <w:sz w:val="18"/>
              </w:rPr>
              <w:t>Defines top-quartile high-emission regulatory compliance target.</w:t>
            </w:r>
          </w:p>
        </w:tc>
        <w:tc>
          <w:tcPr>
            <w:tcW w:type="dxa" w:w="2160"/>
            <w:shd w:fill="FAFAFA"/>
          </w:tcPr>
          <w:p>
            <w:pPr>
              <w:spacing w:before="40" w:after="40" w:line="252" w:lineRule="auto"/>
              <w:jc w:val="left"/>
            </w:pPr>
            <w:r>
              <w:rPr>
                <w:rFonts w:ascii="Times New Roman" w:hAnsi="Times New Roman"/>
                <w:sz w:val="18"/>
              </w:rPr>
              <w:t>Target in RQ2 (LR, RF, GB)</w:t>
            </w:r>
          </w:p>
        </w:tc>
      </w:tr>
    </w:tbl>
    <w:p>
      <w:pPr>
        <w:spacing w:before="60" w:after="240"/>
      </w:pPr>
      <w:r>
        <w:rPr>
          <w:rFonts w:ascii="Times New Roman" w:hAnsi="Times New Roman"/>
          <w:i/>
          <w:sz w:val="18"/>
        </w:rPr>
        <w:t xml:space="preserve">Note. </w:t>
      </w:r>
      <w:r>
        <w:rPr>
          <w:rFonts w:ascii="Times New Roman" w:hAnsi="Times New Roman"/>
          <w:sz w:val="18"/>
        </w:rPr>
        <w:t>Systematic specification of features, mathematical transformations, and model utilization mapping.</w:t>
      </w:r>
    </w:p>
    <w:p>
      <w:pPr>
        <w:keepNext/>
        <w:spacing w:before="240" w:after="120"/>
        <w:jc w:val="left"/>
      </w:pPr>
      <w:r>
        <w:rPr>
          <w:rFonts w:ascii="Times New Roman" w:hAnsi="Times New Roman"/>
          <w:b/>
          <w:color w:val="19375F"/>
          <w:sz w:val="24"/>
        </w:rPr>
        <w:t>Evaluation Metrics and Mathematical Formulations</w:t>
      </w:r>
    </w:p>
    <w:p>
      <w:pPr>
        <w:spacing w:after="120" w:line="276" w:lineRule="auto"/>
        <w:jc w:val="left"/>
      </w:pPr>
      <w:r>
        <w:rPr>
          <w:rFonts w:ascii="Times New Roman" w:hAnsi="Times New Roman"/>
          <w:i w:val="0"/>
          <w:sz w:val="22"/>
        </w:rPr>
        <w:t>Table 7 summarizes the formal mathematical evaluation metrics utilized across the inferential, predictive, and clustering models, including exact algebraic formulas, statistical interpretations, and specific capstone applications.</w:t>
      </w:r>
    </w:p>
    <w:p>
      <w:pPr>
        <w:keepNext/>
        <w:spacing w:before="240" w:after="40"/>
      </w:pPr>
      <w:r>
        <w:rPr>
          <w:rFonts w:ascii="Times New Roman" w:hAnsi="Times New Roman"/>
          <w:b/>
          <w:sz w:val="22"/>
        </w:rPr>
        <w:t>Table 7</w:t>
      </w:r>
    </w:p>
    <w:p>
      <w:pPr>
        <w:keepNext/>
        <w:spacing w:before="0" w:after="120"/>
      </w:pPr>
      <w:r>
        <w:rPr>
          <w:rFonts w:ascii="Times New Roman" w:hAnsi="Times New Roman"/>
          <w:i/>
          <w:sz w:val="22"/>
        </w:rPr>
        <w:t>Evaluation Metrics and Mathematical Formulations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2340"/>
        <w:gridCol w:w="2340"/>
        <w:gridCol w:w="2340"/>
        <w:gridCol w:w="2340"/>
      </w:tblGrid>
      <w:tr>
        <w:trPr>
          <w:tblHeader/>
        </w:trPr>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Metric Name</w:t>
            </w:r>
          </w:p>
        </w:tc>
        <w:tc>
          <w:tcPr>
            <w:tcW w:type="dxa" w:w="3168"/>
            <w:tcBorders>
              <w:bottom w:val="single" w:sz="12" w:space="0" w:color="000000"/>
            </w:tcBorders>
            <w:shd w:fill="F4F6F8"/>
          </w:tcPr>
          <w:p>
            <w:pPr>
              <w:spacing w:before="60" w:after="60" w:line="240" w:lineRule="auto"/>
              <w:jc w:val="center"/>
            </w:pPr>
            <w:r>
              <w:rPr>
                <w:rFonts w:ascii="Times New Roman" w:hAnsi="Times New Roman"/>
                <w:b/>
                <w:sz w:val="19"/>
              </w:rPr>
              <w:t>Mathematical Formula</w:t>
            </w:r>
          </w:p>
        </w:tc>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Statistical Interpretation</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Used For</w:t>
            </w:r>
          </w:p>
        </w:tc>
      </w:tr>
      <w:tr>
        <w:tc>
          <w:tcPr>
            <w:tcW w:type="dxa" w:w="2160"/>
          </w:tcPr>
          <w:p>
            <w:pPr>
              <w:spacing w:before="40" w:after="40" w:line="252" w:lineRule="auto"/>
              <w:jc w:val="left"/>
            </w:pPr>
            <w:r>
              <w:rPr>
                <w:rFonts w:ascii="Times New Roman" w:hAnsi="Times New Roman"/>
                <w:sz w:val="18"/>
              </w:rPr>
              <w:t>One-Way ANOVA F-Statistic</w:t>
            </w:r>
          </w:p>
        </w:tc>
        <w:tc>
          <w:tcPr>
            <w:tcW w:type="dxa" w:w="3168"/>
          </w:tcPr>
          <w:p>
            <w:pPr>
              <w:spacing w:before="40" w:after="40" w:line="252" w:lineRule="auto"/>
              <w:jc w:val="left"/>
            </w:pPr>
            <w:r>
              <w:rPr>
                <w:rFonts w:ascii="Times New Roman" w:hAnsi="Times New Roman"/>
                <w:sz w:val="18"/>
              </w:rPr>
              <w:t>F = MS_between / MS_within = [SS_b / (k - 1)] / [SS_w / (N - k)]</w:t>
            </w:r>
          </w:p>
        </w:tc>
        <w:tc>
          <w:tcPr>
            <w:tcW w:type="dxa" w:w="2592"/>
          </w:tcPr>
          <w:p>
            <w:pPr>
              <w:spacing w:before="40" w:after="40" w:line="252" w:lineRule="auto"/>
              <w:jc w:val="left"/>
            </w:pPr>
            <w:r>
              <w:rPr>
                <w:rFonts w:ascii="Times New Roman" w:hAnsi="Times New Roman"/>
                <w:sz w:val="18"/>
              </w:rPr>
              <w:t>Tests null hypothesis of equal group means across k independent categories.</w:t>
            </w:r>
          </w:p>
        </w:tc>
        <w:tc>
          <w:tcPr>
            <w:tcW w:type="dxa" w:w="2160"/>
          </w:tcPr>
          <w:p>
            <w:pPr>
              <w:spacing w:before="40" w:after="40" w:line="252" w:lineRule="auto"/>
              <w:jc w:val="left"/>
            </w:pPr>
            <w:r>
              <w:rPr>
                <w:rFonts w:ascii="Times New Roman" w:hAnsi="Times New Roman"/>
                <w:sz w:val="18"/>
              </w:rPr>
              <w:t>RQ1 (Fuel Comparisons)</w:t>
            </w:r>
          </w:p>
        </w:tc>
      </w:tr>
      <w:tr>
        <w:tc>
          <w:tcPr>
            <w:tcW w:type="dxa" w:w="2160"/>
            <w:shd w:fill="FAFAFA"/>
          </w:tcPr>
          <w:p>
            <w:pPr>
              <w:spacing w:before="40" w:after="40" w:line="252" w:lineRule="auto"/>
              <w:jc w:val="left"/>
            </w:pPr>
            <w:r>
              <w:rPr>
                <w:rFonts w:ascii="Times New Roman" w:hAnsi="Times New Roman"/>
                <w:sz w:val="18"/>
              </w:rPr>
              <w:t>Eta-Squared (Effect Size, η²)</w:t>
            </w:r>
          </w:p>
        </w:tc>
        <w:tc>
          <w:tcPr>
            <w:tcW w:type="dxa" w:w="3168"/>
            <w:shd w:fill="FAFAFA"/>
          </w:tcPr>
          <w:p>
            <w:pPr>
              <w:spacing w:before="40" w:after="40" w:line="252" w:lineRule="auto"/>
              <w:jc w:val="left"/>
            </w:pPr>
            <w:r>
              <w:rPr>
                <w:rFonts w:ascii="Times New Roman" w:hAnsi="Times New Roman"/>
                <w:sz w:val="18"/>
              </w:rPr>
              <w:t>η² = SS_between / SS_total</w:t>
            </w:r>
          </w:p>
        </w:tc>
        <w:tc>
          <w:tcPr>
            <w:tcW w:type="dxa" w:w="2592"/>
            <w:shd w:fill="FAFAFA"/>
          </w:tcPr>
          <w:p>
            <w:pPr>
              <w:spacing w:before="40" w:after="40" w:line="252" w:lineRule="auto"/>
              <w:jc w:val="left"/>
            </w:pPr>
            <w:r>
              <w:rPr>
                <w:rFonts w:ascii="Times New Roman" w:hAnsi="Times New Roman"/>
                <w:sz w:val="18"/>
              </w:rPr>
              <w:t>Quantifies the proportion of total variance explained by the categorical predictor.</w:t>
            </w:r>
          </w:p>
        </w:tc>
        <w:tc>
          <w:tcPr>
            <w:tcW w:type="dxa" w:w="2160"/>
            <w:shd w:fill="FAFAFA"/>
          </w:tcPr>
          <w:p>
            <w:pPr>
              <w:spacing w:before="40" w:after="40" w:line="252" w:lineRule="auto"/>
              <w:jc w:val="left"/>
            </w:pPr>
            <w:r>
              <w:rPr>
                <w:rFonts w:ascii="Times New Roman" w:hAnsi="Times New Roman"/>
                <w:sz w:val="18"/>
              </w:rPr>
              <w:t>RQ1 (Fuel Variance Effect)</w:t>
            </w:r>
          </w:p>
        </w:tc>
      </w:tr>
      <w:tr>
        <w:tc>
          <w:tcPr>
            <w:tcW w:type="dxa" w:w="2160"/>
          </w:tcPr>
          <w:p>
            <w:pPr>
              <w:spacing w:before="40" w:after="40" w:line="252" w:lineRule="auto"/>
              <w:jc w:val="left"/>
            </w:pPr>
            <w:r>
              <w:rPr>
                <w:rFonts w:ascii="Times New Roman" w:hAnsi="Times New Roman"/>
                <w:sz w:val="18"/>
              </w:rPr>
              <w:t>Kruskal-Wallis H-Statistic</w:t>
            </w:r>
          </w:p>
        </w:tc>
        <w:tc>
          <w:tcPr>
            <w:tcW w:type="dxa" w:w="3168"/>
          </w:tcPr>
          <w:p>
            <w:pPr>
              <w:spacing w:before="40" w:after="40" w:line="252" w:lineRule="auto"/>
              <w:jc w:val="left"/>
            </w:pPr>
            <w:r>
              <w:rPr>
                <w:rFonts w:ascii="Times New Roman" w:hAnsi="Times New Roman"/>
                <w:sz w:val="18"/>
              </w:rPr>
              <w:t>H = [12 / (N(N+1))] Σ (R_j² / n_j) - 3(N + 1)</w:t>
            </w:r>
          </w:p>
        </w:tc>
        <w:tc>
          <w:tcPr>
            <w:tcW w:type="dxa" w:w="2592"/>
          </w:tcPr>
          <w:p>
            <w:pPr>
              <w:spacing w:before="40" w:after="40" w:line="252" w:lineRule="auto"/>
              <w:jc w:val="left"/>
            </w:pPr>
            <w:r>
              <w:rPr>
                <w:rFonts w:ascii="Times New Roman" w:hAnsi="Times New Roman"/>
                <w:sz w:val="18"/>
              </w:rPr>
              <w:t>Non-parametric rank sum test evaluating stochastic group dominance.</w:t>
            </w:r>
          </w:p>
        </w:tc>
        <w:tc>
          <w:tcPr>
            <w:tcW w:type="dxa" w:w="2160"/>
          </w:tcPr>
          <w:p>
            <w:pPr>
              <w:spacing w:before="40" w:after="40" w:line="252" w:lineRule="auto"/>
              <w:jc w:val="left"/>
            </w:pPr>
            <w:r>
              <w:rPr>
                <w:rFonts w:ascii="Times New Roman" w:hAnsi="Times New Roman"/>
                <w:sz w:val="18"/>
              </w:rPr>
              <w:t>RQ1 (Non-Gaussian Fuel Test)</w:t>
            </w:r>
          </w:p>
        </w:tc>
      </w:tr>
      <w:tr>
        <w:tc>
          <w:tcPr>
            <w:tcW w:type="dxa" w:w="2160"/>
            <w:shd w:fill="FAFAFA"/>
          </w:tcPr>
          <w:p>
            <w:pPr>
              <w:spacing w:before="40" w:after="40" w:line="252" w:lineRule="auto"/>
              <w:jc w:val="left"/>
            </w:pPr>
            <w:r>
              <w:rPr>
                <w:rFonts w:ascii="Times New Roman" w:hAnsi="Times New Roman"/>
                <w:sz w:val="18"/>
              </w:rPr>
              <w:t>Classification Accuracy</w:t>
            </w:r>
          </w:p>
        </w:tc>
        <w:tc>
          <w:tcPr>
            <w:tcW w:type="dxa" w:w="3168"/>
            <w:shd w:fill="FAFAFA"/>
          </w:tcPr>
          <w:p>
            <w:pPr>
              <w:spacing w:before="40" w:after="40" w:line="252" w:lineRule="auto"/>
              <w:jc w:val="left"/>
            </w:pPr>
            <w:r>
              <w:rPr>
                <w:rFonts w:ascii="Times New Roman" w:hAnsi="Times New Roman"/>
                <w:sz w:val="18"/>
              </w:rPr>
              <w:t>Accuracy = (TP + TN) / (TP + TN + FP + FN)</w:t>
            </w:r>
          </w:p>
        </w:tc>
        <w:tc>
          <w:tcPr>
            <w:tcW w:type="dxa" w:w="2592"/>
            <w:shd w:fill="FAFAFA"/>
          </w:tcPr>
          <w:p>
            <w:pPr>
              <w:spacing w:before="40" w:after="40" w:line="252" w:lineRule="auto"/>
              <w:jc w:val="left"/>
            </w:pPr>
            <w:r>
              <w:rPr>
                <w:rFonts w:ascii="Times New Roman" w:hAnsi="Times New Roman"/>
                <w:sz w:val="18"/>
              </w:rPr>
              <w:t>Overall proportion of correctly classified generating units across test set.</w:t>
            </w:r>
          </w:p>
        </w:tc>
        <w:tc>
          <w:tcPr>
            <w:tcW w:type="dxa" w:w="2160"/>
            <w:shd w:fill="FAFAFA"/>
          </w:tcPr>
          <w:p>
            <w:pPr>
              <w:spacing w:before="40" w:after="40" w:line="252" w:lineRule="auto"/>
              <w:jc w:val="left"/>
            </w:pPr>
            <w:r>
              <w:rPr>
                <w:rFonts w:ascii="Times New Roman" w:hAnsi="Times New Roman"/>
                <w:sz w:val="18"/>
              </w:rPr>
              <w:t>RQ2 (Classifier Evaluation)</w:t>
            </w:r>
          </w:p>
        </w:tc>
      </w:tr>
      <w:tr>
        <w:tc>
          <w:tcPr>
            <w:tcW w:type="dxa" w:w="2160"/>
          </w:tcPr>
          <w:p>
            <w:pPr>
              <w:spacing w:before="40" w:after="40" w:line="252" w:lineRule="auto"/>
              <w:jc w:val="left"/>
            </w:pPr>
            <w:r>
              <w:rPr>
                <w:rFonts w:ascii="Times New Roman" w:hAnsi="Times New Roman"/>
                <w:sz w:val="18"/>
              </w:rPr>
              <w:t>Precision (Positive Predictive)</w:t>
            </w:r>
          </w:p>
        </w:tc>
        <w:tc>
          <w:tcPr>
            <w:tcW w:type="dxa" w:w="3168"/>
          </w:tcPr>
          <w:p>
            <w:pPr>
              <w:spacing w:before="40" w:after="40" w:line="252" w:lineRule="auto"/>
              <w:jc w:val="left"/>
            </w:pPr>
            <w:r>
              <w:rPr>
                <w:rFonts w:ascii="Times New Roman" w:hAnsi="Times New Roman"/>
                <w:sz w:val="18"/>
              </w:rPr>
              <w:t>Precision = TP / (TP + FP)</w:t>
            </w:r>
          </w:p>
        </w:tc>
        <w:tc>
          <w:tcPr>
            <w:tcW w:type="dxa" w:w="2592"/>
          </w:tcPr>
          <w:p>
            <w:pPr>
              <w:spacing w:before="40" w:after="40" w:line="252" w:lineRule="auto"/>
              <w:jc w:val="left"/>
            </w:pPr>
            <w:r>
              <w:rPr>
                <w:rFonts w:ascii="Times New Roman" w:hAnsi="Times New Roman"/>
                <w:sz w:val="18"/>
              </w:rPr>
              <w:t>Proportion of predicted high-emission facilities that are genuinely high emitters.</w:t>
            </w:r>
          </w:p>
        </w:tc>
        <w:tc>
          <w:tcPr>
            <w:tcW w:type="dxa" w:w="2160"/>
          </w:tcPr>
          <w:p>
            <w:pPr>
              <w:spacing w:before="40" w:after="40" w:line="252" w:lineRule="auto"/>
              <w:jc w:val="left"/>
            </w:pPr>
            <w:r>
              <w:rPr>
                <w:rFonts w:ascii="Times New Roman" w:hAnsi="Times New Roman"/>
                <w:sz w:val="18"/>
              </w:rPr>
              <w:t>RQ2 (Audit Resource Focus)</w:t>
            </w:r>
          </w:p>
        </w:tc>
      </w:tr>
      <w:tr>
        <w:tc>
          <w:tcPr>
            <w:tcW w:type="dxa" w:w="2160"/>
            <w:shd w:fill="FAFAFA"/>
          </w:tcPr>
          <w:p>
            <w:pPr>
              <w:spacing w:before="40" w:after="40" w:line="252" w:lineRule="auto"/>
              <w:jc w:val="left"/>
            </w:pPr>
            <w:r>
              <w:rPr>
                <w:rFonts w:ascii="Times New Roman" w:hAnsi="Times New Roman"/>
                <w:sz w:val="18"/>
              </w:rPr>
              <w:t>Recall (Sensitivity)</w:t>
            </w:r>
          </w:p>
        </w:tc>
        <w:tc>
          <w:tcPr>
            <w:tcW w:type="dxa" w:w="3168"/>
            <w:shd w:fill="FAFAFA"/>
          </w:tcPr>
          <w:p>
            <w:pPr>
              <w:spacing w:before="40" w:after="40" w:line="252" w:lineRule="auto"/>
              <w:jc w:val="left"/>
            </w:pPr>
            <w:r>
              <w:rPr>
                <w:rFonts w:ascii="Times New Roman" w:hAnsi="Times New Roman"/>
                <w:sz w:val="18"/>
              </w:rPr>
              <w:t>Recall = TP / (TP + FN)</w:t>
            </w:r>
          </w:p>
        </w:tc>
        <w:tc>
          <w:tcPr>
            <w:tcW w:type="dxa" w:w="2592"/>
            <w:shd w:fill="FAFAFA"/>
          </w:tcPr>
          <w:p>
            <w:pPr>
              <w:spacing w:before="40" w:after="40" w:line="252" w:lineRule="auto"/>
              <w:jc w:val="left"/>
            </w:pPr>
            <w:r>
              <w:rPr>
                <w:rFonts w:ascii="Times New Roman" w:hAnsi="Times New Roman"/>
                <w:sz w:val="18"/>
              </w:rPr>
              <w:t>Ability of the model to detect and flag actual high-emission generating units.</w:t>
            </w:r>
          </w:p>
        </w:tc>
        <w:tc>
          <w:tcPr>
            <w:tcW w:type="dxa" w:w="2160"/>
            <w:shd w:fill="FAFAFA"/>
          </w:tcPr>
          <w:p>
            <w:pPr>
              <w:spacing w:before="40" w:after="40" w:line="252" w:lineRule="auto"/>
              <w:jc w:val="left"/>
            </w:pPr>
            <w:r>
              <w:rPr>
                <w:rFonts w:ascii="Times New Roman" w:hAnsi="Times New Roman"/>
                <w:sz w:val="18"/>
              </w:rPr>
              <w:t>RQ2 (Environmental Protection)</w:t>
            </w:r>
          </w:p>
        </w:tc>
      </w:tr>
      <w:tr>
        <w:tc>
          <w:tcPr>
            <w:tcW w:type="dxa" w:w="2160"/>
          </w:tcPr>
          <w:p>
            <w:pPr>
              <w:spacing w:before="40" w:after="40" w:line="252" w:lineRule="auto"/>
              <w:jc w:val="left"/>
            </w:pPr>
            <w:r>
              <w:rPr>
                <w:rFonts w:ascii="Times New Roman" w:hAnsi="Times New Roman"/>
                <w:sz w:val="18"/>
              </w:rPr>
              <w:t>F1-Score (Harmonic Mean)</w:t>
            </w:r>
          </w:p>
        </w:tc>
        <w:tc>
          <w:tcPr>
            <w:tcW w:type="dxa" w:w="3168"/>
          </w:tcPr>
          <w:p>
            <w:pPr>
              <w:spacing w:before="40" w:after="40" w:line="252" w:lineRule="auto"/>
              <w:jc w:val="left"/>
            </w:pPr>
            <w:r>
              <w:rPr>
                <w:rFonts w:ascii="Times New Roman" w:hAnsi="Times New Roman"/>
                <w:sz w:val="18"/>
              </w:rPr>
              <w:t>F1 = 2 × (Precision × Recall) / (Precision + Recall)</w:t>
            </w:r>
          </w:p>
        </w:tc>
        <w:tc>
          <w:tcPr>
            <w:tcW w:type="dxa" w:w="2592"/>
          </w:tcPr>
          <w:p>
            <w:pPr>
              <w:spacing w:before="40" w:after="40" w:line="252" w:lineRule="auto"/>
              <w:jc w:val="left"/>
            </w:pPr>
            <w:r>
              <w:rPr>
                <w:rFonts w:ascii="Times New Roman" w:hAnsi="Times New Roman"/>
                <w:sz w:val="18"/>
              </w:rPr>
              <w:t>Balances precision and recall under class imbalance (25.1% positive prevalence).</w:t>
            </w:r>
          </w:p>
        </w:tc>
        <w:tc>
          <w:tcPr>
            <w:tcW w:type="dxa" w:w="2160"/>
          </w:tcPr>
          <w:p>
            <w:pPr>
              <w:spacing w:before="40" w:after="40" w:line="252" w:lineRule="auto"/>
              <w:jc w:val="left"/>
            </w:pPr>
            <w:r>
              <w:rPr>
                <w:rFonts w:ascii="Times New Roman" w:hAnsi="Times New Roman"/>
                <w:sz w:val="18"/>
              </w:rPr>
              <w:t>RQ2 (Primary Model Metric)</w:t>
            </w:r>
          </w:p>
        </w:tc>
      </w:tr>
      <w:tr>
        <w:tc>
          <w:tcPr>
            <w:tcW w:type="dxa" w:w="2160"/>
            <w:shd w:fill="FAFAFA"/>
          </w:tcPr>
          <w:p>
            <w:pPr>
              <w:spacing w:before="40" w:after="40" w:line="252" w:lineRule="auto"/>
              <w:jc w:val="left"/>
            </w:pPr>
            <w:r>
              <w:rPr>
                <w:rFonts w:ascii="Times New Roman" w:hAnsi="Times New Roman"/>
                <w:sz w:val="18"/>
              </w:rPr>
              <w:t>Receiver Operating AUC</w:t>
            </w:r>
          </w:p>
        </w:tc>
        <w:tc>
          <w:tcPr>
            <w:tcW w:type="dxa" w:w="3168"/>
            <w:shd w:fill="FAFAFA"/>
          </w:tcPr>
          <w:p>
            <w:pPr>
              <w:spacing w:before="40" w:after="40" w:line="252" w:lineRule="auto"/>
              <w:jc w:val="left"/>
            </w:pPr>
            <w:r>
              <w:rPr>
                <w:rFonts w:ascii="Times New Roman" w:hAnsi="Times New Roman"/>
                <w:sz w:val="18"/>
              </w:rPr>
              <w:t>AUC = ∫_0^1 TPR(FPR) d(FPR)</w:t>
            </w:r>
          </w:p>
        </w:tc>
        <w:tc>
          <w:tcPr>
            <w:tcW w:type="dxa" w:w="2592"/>
            <w:shd w:fill="FAFAFA"/>
          </w:tcPr>
          <w:p>
            <w:pPr>
              <w:spacing w:before="40" w:after="40" w:line="252" w:lineRule="auto"/>
              <w:jc w:val="left"/>
            </w:pPr>
            <w:r>
              <w:rPr>
                <w:rFonts w:ascii="Times New Roman" w:hAnsi="Times New Roman"/>
                <w:sz w:val="18"/>
              </w:rPr>
              <w:t>Measures aggregate discriminative ability across all classification thresholds.</w:t>
            </w:r>
          </w:p>
        </w:tc>
        <w:tc>
          <w:tcPr>
            <w:tcW w:type="dxa" w:w="2160"/>
            <w:shd w:fill="FAFAFA"/>
          </w:tcPr>
          <w:p>
            <w:pPr>
              <w:spacing w:before="40" w:after="40" w:line="252" w:lineRule="auto"/>
              <w:jc w:val="left"/>
            </w:pPr>
            <w:r>
              <w:rPr>
                <w:rFonts w:ascii="Times New Roman" w:hAnsi="Times New Roman"/>
                <w:sz w:val="18"/>
              </w:rPr>
              <w:t>RQ2 (Threshold-Free Metric)</w:t>
            </w:r>
          </w:p>
        </w:tc>
      </w:tr>
      <w:tr>
        <w:tc>
          <w:tcPr>
            <w:tcW w:type="dxa" w:w="2160"/>
          </w:tcPr>
          <w:p>
            <w:pPr>
              <w:spacing w:before="40" w:after="40" w:line="252" w:lineRule="auto"/>
              <w:jc w:val="left"/>
            </w:pPr>
            <w:r>
              <w:rPr>
                <w:rFonts w:ascii="Times New Roman" w:hAnsi="Times New Roman"/>
                <w:sz w:val="18"/>
              </w:rPr>
              <w:t>Pearson Correlation (r)</w:t>
            </w:r>
          </w:p>
        </w:tc>
        <w:tc>
          <w:tcPr>
            <w:tcW w:type="dxa" w:w="3168"/>
          </w:tcPr>
          <w:p>
            <w:pPr>
              <w:spacing w:before="40" w:after="40" w:line="252" w:lineRule="auto"/>
              <w:jc w:val="left"/>
            </w:pPr>
            <w:r>
              <w:rPr>
                <w:rFonts w:ascii="Times New Roman" w:hAnsi="Times New Roman"/>
                <w:sz w:val="18"/>
              </w:rPr>
              <w:t>r = Σ[(x - x̄)(y - ȳ)] / [√Σ(x - x̄)² √Σ(y - ȳ)²]</w:t>
            </w:r>
          </w:p>
        </w:tc>
        <w:tc>
          <w:tcPr>
            <w:tcW w:type="dxa" w:w="2592"/>
          </w:tcPr>
          <w:p>
            <w:pPr>
              <w:spacing w:before="40" w:after="40" w:line="252" w:lineRule="auto"/>
              <w:jc w:val="left"/>
            </w:pPr>
            <w:r>
              <w:rPr>
                <w:rFonts w:ascii="Times New Roman" w:hAnsi="Times New Roman"/>
                <w:sz w:val="18"/>
              </w:rPr>
              <w:t>Measures the strength and direction of linear association between two variables.</w:t>
            </w:r>
          </w:p>
        </w:tc>
        <w:tc>
          <w:tcPr>
            <w:tcW w:type="dxa" w:w="2160"/>
          </w:tcPr>
          <w:p>
            <w:pPr>
              <w:spacing w:before="40" w:after="40" w:line="252" w:lineRule="auto"/>
              <w:jc w:val="left"/>
            </w:pPr>
            <w:r>
              <w:rPr>
                <w:rFonts w:ascii="Times New Roman" w:hAnsi="Times New Roman"/>
                <w:sz w:val="18"/>
              </w:rPr>
              <w:t>RQ3 (Age vs Heat Input)</w:t>
            </w:r>
          </w:p>
        </w:tc>
      </w:tr>
      <w:tr>
        <w:tc>
          <w:tcPr>
            <w:tcW w:type="dxa" w:w="2160"/>
            <w:shd w:fill="FAFAFA"/>
          </w:tcPr>
          <w:p>
            <w:pPr>
              <w:spacing w:before="40" w:after="40" w:line="252" w:lineRule="auto"/>
              <w:jc w:val="left"/>
            </w:pPr>
            <w:r>
              <w:rPr>
                <w:rFonts w:ascii="Times New Roman" w:hAnsi="Times New Roman"/>
                <w:sz w:val="18"/>
              </w:rPr>
              <w:t>Spearman Rank Correlation (ρ)</w:t>
            </w:r>
          </w:p>
        </w:tc>
        <w:tc>
          <w:tcPr>
            <w:tcW w:type="dxa" w:w="3168"/>
            <w:shd w:fill="FAFAFA"/>
          </w:tcPr>
          <w:p>
            <w:pPr>
              <w:spacing w:before="40" w:after="40" w:line="252" w:lineRule="auto"/>
              <w:jc w:val="left"/>
            </w:pPr>
            <w:r>
              <w:rPr>
                <w:rFonts w:ascii="Times New Roman" w:hAnsi="Times New Roman"/>
                <w:sz w:val="18"/>
              </w:rPr>
              <w:t>ρ = 1 - [6 Σ d_i²] / [n(n² - 1)]</w:t>
            </w:r>
          </w:p>
        </w:tc>
        <w:tc>
          <w:tcPr>
            <w:tcW w:type="dxa" w:w="2592"/>
            <w:shd w:fill="FAFAFA"/>
          </w:tcPr>
          <w:p>
            <w:pPr>
              <w:spacing w:before="40" w:after="40" w:line="252" w:lineRule="auto"/>
              <w:jc w:val="left"/>
            </w:pPr>
            <w:r>
              <w:rPr>
                <w:rFonts w:ascii="Times New Roman" w:hAnsi="Times New Roman"/>
                <w:sz w:val="18"/>
              </w:rPr>
              <w:t>Quantifies monotonic relationship between ranked observations without normality.</w:t>
            </w:r>
          </w:p>
        </w:tc>
        <w:tc>
          <w:tcPr>
            <w:tcW w:type="dxa" w:w="2160"/>
            <w:shd w:fill="FAFAFA"/>
          </w:tcPr>
          <w:p>
            <w:pPr>
              <w:spacing w:before="40" w:after="40" w:line="252" w:lineRule="auto"/>
              <w:jc w:val="left"/>
            </w:pPr>
            <w:r>
              <w:rPr>
                <w:rFonts w:ascii="Times New Roman" w:hAnsi="Times New Roman"/>
                <w:sz w:val="18"/>
              </w:rPr>
              <w:t>RQ3 (Non-linear Vintage Link)</w:t>
            </w:r>
          </w:p>
        </w:tc>
      </w:tr>
      <w:tr>
        <w:tc>
          <w:tcPr>
            <w:tcW w:type="dxa" w:w="2160"/>
          </w:tcPr>
          <w:p>
            <w:pPr>
              <w:spacing w:before="40" w:after="40" w:line="252" w:lineRule="auto"/>
              <w:jc w:val="left"/>
            </w:pPr>
            <w:r>
              <w:rPr>
                <w:rFonts w:ascii="Times New Roman" w:hAnsi="Times New Roman"/>
                <w:sz w:val="18"/>
              </w:rPr>
              <w:t>Coefficient of Determination (R²)</w:t>
            </w:r>
          </w:p>
        </w:tc>
        <w:tc>
          <w:tcPr>
            <w:tcW w:type="dxa" w:w="3168"/>
          </w:tcPr>
          <w:p>
            <w:pPr>
              <w:spacing w:before="40" w:after="40" w:line="252" w:lineRule="auto"/>
              <w:jc w:val="left"/>
            </w:pPr>
            <w:r>
              <w:rPr>
                <w:rFonts w:ascii="Times New Roman" w:hAnsi="Times New Roman"/>
                <w:sz w:val="18"/>
              </w:rPr>
              <w:t>R² = 1 - (SS_res / SS_tot) = 1 - [Σ(y_i - ŷ_i)² / Σ(y_i - ȳ)²]</w:t>
            </w:r>
          </w:p>
        </w:tc>
        <w:tc>
          <w:tcPr>
            <w:tcW w:type="dxa" w:w="2592"/>
          </w:tcPr>
          <w:p>
            <w:pPr>
              <w:spacing w:before="40" w:after="40" w:line="252" w:lineRule="auto"/>
              <w:jc w:val="left"/>
            </w:pPr>
            <w:r>
              <w:rPr>
                <w:rFonts w:ascii="Times New Roman" w:hAnsi="Times New Roman"/>
                <w:sz w:val="18"/>
              </w:rPr>
              <w:t>Measures proportion of variance in heat input rate explained by regression model.</w:t>
            </w:r>
          </w:p>
        </w:tc>
        <w:tc>
          <w:tcPr>
            <w:tcW w:type="dxa" w:w="2160"/>
          </w:tcPr>
          <w:p>
            <w:pPr>
              <w:spacing w:before="40" w:after="40" w:line="252" w:lineRule="auto"/>
              <w:jc w:val="left"/>
            </w:pPr>
            <w:r>
              <w:rPr>
                <w:rFonts w:ascii="Times New Roman" w:hAnsi="Times New Roman"/>
                <w:sz w:val="18"/>
              </w:rPr>
              <w:t>RQ3 (OLS Model Fit)</w:t>
            </w:r>
          </w:p>
        </w:tc>
      </w:tr>
      <w:tr>
        <w:tc>
          <w:tcPr>
            <w:tcW w:type="dxa" w:w="2160"/>
            <w:shd w:fill="FAFAFA"/>
          </w:tcPr>
          <w:p>
            <w:pPr>
              <w:spacing w:before="40" w:after="40" w:line="252" w:lineRule="auto"/>
              <w:jc w:val="left"/>
            </w:pPr>
            <w:r>
              <w:rPr>
                <w:rFonts w:ascii="Times New Roman" w:hAnsi="Times New Roman"/>
                <w:sz w:val="18"/>
              </w:rPr>
              <w:t>Root Mean Squared Error (RMSE)</w:t>
            </w:r>
          </w:p>
        </w:tc>
        <w:tc>
          <w:tcPr>
            <w:tcW w:type="dxa" w:w="3168"/>
            <w:shd w:fill="FAFAFA"/>
          </w:tcPr>
          <w:p>
            <w:pPr>
              <w:spacing w:before="40" w:after="40" w:line="252" w:lineRule="auto"/>
              <w:jc w:val="left"/>
            </w:pPr>
            <w:r>
              <w:rPr>
                <w:rFonts w:ascii="Times New Roman" w:hAnsi="Times New Roman"/>
                <w:sz w:val="18"/>
              </w:rPr>
              <w:t>RMSE = √[ (1/n) Σ (y_i - ŷ_i)² ]</w:t>
            </w:r>
          </w:p>
        </w:tc>
        <w:tc>
          <w:tcPr>
            <w:tcW w:type="dxa" w:w="2592"/>
            <w:shd w:fill="FAFAFA"/>
          </w:tcPr>
          <w:p>
            <w:pPr>
              <w:spacing w:before="40" w:after="40" w:line="252" w:lineRule="auto"/>
              <w:jc w:val="left"/>
            </w:pPr>
            <w:r>
              <w:rPr>
                <w:rFonts w:ascii="Times New Roman" w:hAnsi="Times New Roman"/>
                <w:sz w:val="18"/>
              </w:rPr>
              <w:t>Penalizes large prediction errors; expressed in original physical units (mmBtu/hr).</w:t>
            </w:r>
          </w:p>
        </w:tc>
        <w:tc>
          <w:tcPr>
            <w:tcW w:type="dxa" w:w="2160"/>
            <w:shd w:fill="FAFAFA"/>
          </w:tcPr>
          <w:p>
            <w:pPr>
              <w:spacing w:before="40" w:after="40" w:line="252" w:lineRule="auto"/>
              <w:jc w:val="left"/>
            </w:pPr>
            <w:r>
              <w:rPr>
                <w:rFonts w:ascii="Times New Roman" w:hAnsi="Times New Roman"/>
                <w:sz w:val="18"/>
              </w:rPr>
              <w:t>RQ3 (Regression Error)</w:t>
            </w:r>
          </w:p>
        </w:tc>
      </w:tr>
      <w:tr>
        <w:tc>
          <w:tcPr>
            <w:tcW w:type="dxa" w:w="2160"/>
          </w:tcPr>
          <w:p>
            <w:pPr>
              <w:spacing w:before="40" w:after="40" w:line="252" w:lineRule="auto"/>
              <w:jc w:val="left"/>
            </w:pPr>
            <w:r>
              <w:rPr>
                <w:rFonts w:ascii="Times New Roman" w:hAnsi="Times New Roman"/>
                <w:sz w:val="18"/>
              </w:rPr>
              <w:t>Silhouette Coefficient (s_i)</w:t>
            </w:r>
          </w:p>
        </w:tc>
        <w:tc>
          <w:tcPr>
            <w:tcW w:type="dxa" w:w="3168"/>
          </w:tcPr>
          <w:p>
            <w:pPr>
              <w:spacing w:before="40" w:after="40" w:line="252" w:lineRule="auto"/>
              <w:jc w:val="left"/>
            </w:pPr>
            <w:r>
              <w:rPr>
                <w:rFonts w:ascii="Times New Roman" w:hAnsi="Times New Roman"/>
                <w:sz w:val="18"/>
              </w:rPr>
              <w:t>s(i) = [b(i) - a(i)] / max[a(i), b(i)]</w:t>
            </w:r>
          </w:p>
        </w:tc>
        <w:tc>
          <w:tcPr>
            <w:tcW w:type="dxa" w:w="2592"/>
          </w:tcPr>
          <w:p>
            <w:pPr>
              <w:spacing w:before="40" w:after="40" w:line="252" w:lineRule="auto"/>
              <w:jc w:val="left"/>
            </w:pPr>
            <w:r>
              <w:rPr>
                <w:rFonts w:ascii="Times New Roman" w:hAnsi="Times New Roman"/>
                <w:sz w:val="18"/>
              </w:rPr>
              <w:t>Evaluates individual and mean cluster cohesion versus separation (-1 to +1).</w:t>
            </w:r>
          </w:p>
        </w:tc>
        <w:tc>
          <w:tcPr>
            <w:tcW w:type="dxa" w:w="2160"/>
          </w:tcPr>
          <w:p>
            <w:pPr>
              <w:spacing w:before="40" w:after="40" w:line="252" w:lineRule="auto"/>
              <w:jc w:val="left"/>
            </w:pPr>
            <w:r>
              <w:rPr>
                <w:rFonts w:ascii="Times New Roman" w:hAnsi="Times New Roman"/>
                <w:sz w:val="18"/>
              </w:rPr>
              <w:t>RQ4 (Cluster Validation)</w:t>
            </w:r>
          </w:p>
        </w:tc>
      </w:tr>
      <w:tr>
        <w:tc>
          <w:tcPr>
            <w:tcW w:type="dxa" w:w="2160"/>
            <w:shd w:fill="FAFAFA"/>
          </w:tcPr>
          <w:p>
            <w:pPr>
              <w:spacing w:before="40" w:after="40" w:line="252" w:lineRule="auto"/>
              <w:jc w:val="left"/>
            </w:pPr>
            <w:r>
              <w:rPr>
                <w:rFonts w:ascii="Times New Roman" w:hAnsi="Times New Roman"/>
                <w:sz w:val="18"/>
              </w:rPr>
              <w:t>Within-Cluster Sum of Squares</w:t>
            </w:r>
          </w:p>
        </w:tc>
        <w:tc>
          <w:tcPr>
            <w:tcW w:type="dxa" w:w="3168"/>
            <w:shd w:fill="FAFAFA"/>
          </w:tcPr>
          <w:p>
            <w:pPr>
              <w:spacing w:before="40" w:after="40" w:line="252" w:lineRule="auto"/>
              <w:jc w:val="left"/>
            </w:pPr>
            <w:r>
              <w:rPr>
                <w:rFonts w:ascii="Times New Roman" w:hAnsi="Times New Roman"/>
                <w:sz w:val="18"/>
              </w:rPr>
              <w:t>WCSS = Σ_k Σ_{x ∈ C_k} || x - μ_k ||²</w:t>
            </w:r>
          </w:p>
        </w:tc>
        <w:tc>
          <w:tcPr>
            <w:tcW w:type="dxa" w:w="2592"/>
            <w:shd w:fill="FAFAFA"/>
          </w:tcPr>
          <w:p>
            <w:pPr>
              <w:spacing w:before="40" w:after="40" w:line="252" w:lineRule="auto"/>
              <w:jc w:val="left"/>
            </w:pPr>
            <w:r>
              <w:rPr>
                <w:rFonts w:ascii="Times New Roman" w:hAnsi="Times New Roman"/>
                <w:sz w:val="18"/>
              </w:rPr>
              <w:t>Total Euclidean dispersion of points around cluster centroids (Elbow curve).</w:t>
            </w:r>
          </w:p>
        </w:tc>
        <w:tc>
          <w:tcPr>
            <w:tcW w:type="dxa" w:w="2160"/>
            <w:shd w:fill="FAFAFA"/>
          </w:tcPr>
          <w:p>
            <w:pPr>
              <w:spacing w:before="40" w:after="40" w:line="252" w:lineRule="auto"/>
              <w:jc w:val="left"/>
            </w:pPr>
            <w:r>
              <w:rPr>
                <w:rFonts w:ascii="Times New Roman" w:hAnsi="Times New Roman"/>
                <w:sz w:val="18"/>
              </w:rPr>
              <w:t>RQ4 (Optimal k Selection)</w:t>
            </w:r>
          </w:p>
        </w:tc>
      </w:tr>
    </w:tbl>
    <w:p>
      <w:pPr>
        <w:spacing w:before="60" w:after="240"/>
      </w:pPr>
      <w:r>
        <w:rPr>
          <w:rFonts w:ascii="Times New Roman" w:hAnsi="Times New Roman"/>
          <w:i/>
          <w:sz w:val="18"/>
        </w:rPr>
        <w:t xml:space="preserve">Note. </w:t>
      </w:r>
      <w:r>
        <w:rPr>
          <w:rFonts w:ascii="Times New Roman" w:hAnsi="Times New Roman"/>
          <w:sz w:val="18"/>
        </w:rPr>
        <w:t>Mathematical definitions, formulas, and domain applications of all quantitative performance metrics.</w:t>
      </w:r>
    </w:p>
    <w:p>
      <w:pPr>
        <w:keepNext/>
        <w:spacing w:before="320" w:after="160"/>
        <w:jc w:val="center"/>
      </w:pPr>
      <w:r>
        <w:rPr>
          <w:rFonts w:ascii="Times New Roman" w:hAnsi="Times New Roman"/>
          <w:b/>
          <w:color w:val="0F2240"/>
          <w:sz w:val="28"/>
        </w:rPr>
        <w:t>6. Preliminary Results</w:t>
      </w:r>
    </w:p>
    <w:p>
      <w:pPr>
        <w:keepNext/>
        <w:spacing w:before="240" w:after="120"/>
        <w:jc w:val="left"/>
      </w:pPr>
      <w:r>
        <w:rPr>
          <w:rFonts w:ascii="Times New Roman" w:hAnsi="Times New Roman"/>
          <w:b/>
          <w:color w:val="19375F"/>
          <w:sz w:val="24"/>
        </w:rPr>
        <w:t>Preliminary Findings by Research Question</w:t>
      </w:r>
    </w:p>
    <w:p>
      <w:pPr>
        <w:keepNext/>
        <w:spacing w:before="160" w:after="80"/>
        <w:jc w:val="left"/>
      </w:pPr>
      <w:r>
        <w:rPr>
          <w:rFonts w:ascii="Times New Roman" w:hAnsi="Times New Roman"/>
          <w:b/>
          <w:i/>
          <w:color w:val="282828"/>
          <w:sz w:val="22"/>
        </w:rPr>
        <w:t>RQ1: Emission &amp; Heat Input Variability across Fuels (F = 542.36, p &lt; 0.001)</w:t>
      </w:r>
    </w:p>
    <w:p>
      <w:pPr>
        <w:spacing w:after="120" w:line="276" w:lineRule="auto"/>
        <w:jc w:val="left"/>
      </w:pPr>
      <w:r>
        <w:rPr>
          <w:rFonts w:ascii="Times New Roman" w:hAnsi="Times New Roman"/>
          <w:i w:val="0"/>
          <w:sz w:val="22"/>
        </w:rPr>
        <w:t>To resolve RQ1, One-Way Analysis of Variance (ANOVA) was conducted on maximum hourly heat input rate across the five primary fuel categories. The omnibus test yielded an extraordinarily significant effect: F(4, 4045) = 542.36, p &lt; 0.0001. The calculated effect size, Eta-Squared (η²), is 0.3491, demonstrating that 34.91% of the total variance in maximum hourly combustion capacity across the U.S. power fleet is attributable directly to primary fuel choice. In academic social and environmental sciences, an η² &gt; 0.14 is classified as a very large effect (Field, 2018).</w:t>
      </w:r>
    </w:p>
    <w:p>
      <w:pPr>
        <w:spacing w:after="120" w:line="276" w:lineRule="auto"/>
        <w:jc w:val="left"/>
      </w:pPr>
      <w:r>
        <w:rPr>
          <w:rFonts w:ascii="Times New Roman" w:hAnsi="Times New Roman"/>
          <w:i w:val="0"/>
          <w:sz w:val="22"/>
        </w:rPr>
        <w:t>Because heat input data exhibit right-skewness, the non-parametric Kruskal-Wallis test was conducted as a distribution-free verification. The test confirmed profound significance: H(4) = 783.02, p = 3.66 × 10⁻¹⁶⁸, decisively rejecting the null hypothesis (H0) and proving that fuel groups exhibit distinct operational distributions. Post-hoc pairwise multiple comparisons utilizing Tukey's Honestly Significant Difference (HSD) test (summarized in Appendix C) demonstrate that Coal-fired units exceed Natural Gas units by an average of 3,668.2 mmBtu/hr (p &lt; 0.001) and Oil/Diesel units by 4,444.5 mmBtu/hr (p &lt; 0.001). Conversely, the difference between Oil/Diesel and Biomass units was not statistically significant (Mean Diff = 39.2 mmBtu/hr, p = 1.000), reflecting similar smaller-scale thermal applications. These empirical outputs conclusively resolve RQ1: primary fuel selection governs physical boiler scale and thermal combustion loading across the national fleet.</w:t>
      </w:r>
    </w:p>
    <w:p>
      <w:pPr>
        <w:keepNext/>
        <w:spacing w:before="160" w:after="80"/>
        <w:jc w:val="left"/>
      </w:pPr>
      <w:r>
        <w:rPr>
          <w:rFonts w:ascii="Times New Roman" w:hAnsi="Times New Roman"/>
          <w:b/>
          <w:i/>
          <w:color w:val="282828"/>
          <w:sz w:val="22"/>
        </w:rPr>
        <w:t>RQ2: Predictive Classification of High-Emission Generating Units</w:t>
      </w:r>
    </w:p>
    <w:p>
      <w:pPr>
        <w:spacing w:after="120" w:line="276" w:lineRule="auto"/>
        <w:jc w:val="left"/>
      </w:pPr>
      <w:r>
        <w:rPr>
          <w:rFonts w:ascii="Times New Roman" w:hAnsi="Times New Roman"/>
          <w:i w:val="0"/>
          <w:sz w:val="22"/>
        </w:rPr>
        <w:t>To resolve RQ2, supervised machine learning models were developed to predict high-emission generating units (Heat Input Rate ≥ 2,350 mmBtu/hr, representing 1018 units, 25.14% positive class prevalence). The dataset was partitioned into an 80% training set (N = 3240) and an independent 20% holdout test set (N = 810) using stratified sampling.</w:t>
      </w:r>
    </w:p>
    <w:p>
      <w:pPr>
        <w:keepNext/>
        <w:spacing w:before="240" w:after="40"/>
      </w:pPr>
      <w:r>
        <w:rPr>
          <w:rFonts w:ascii="Times New Roman" w:hAnsi="Times New Roman"/>
          <w:b/>
          <w:sz w:val="22"/>
        </w:rPr>
        <w:t>Figure 5</w:t>
      </w:r>
    </w:p>
    <w:p>
      <w:pPr>
        <w:keepNext/>
        <w:spacing w:before="0" w:after="120"/>
      </w:pPr>
      <w:r>
        <w:rPr>
          <w:rFonts w:ascii="Times New Roman" w:hAnsi="Times New Roman"/>
          <w:i/>
          <w:sz w:val="22"/>
        </w:rPr>
        <w:t>Receiver Operating Characteristic (ROC) Curves for High Emitter Classification</w:t>
      </w:r>
    </w:p>
    <w:p>
      <w:pPr>
        <w:keepNext/>
        <w:spacing w:after="8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figure6_roc_curves.png"/>
                    <pic:cNvPicPr/>
                  </pic:nvPicPr>
                  <pic:blipFill>
                    <a:blip r:embed="rId15"/>
                    <a:stretch>
                      <a:fillRect/>
                    </a:stretch>
                  </pic:blipFill>
                  <pic:spPr>
                    <a:xfrm>
                      <a:off x="0" y="0"/>
                      <a:ext cx="5486400" cy="4114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Comparison of test set ROC curves for Random Forest (AUC = 0.985), Gradient Boosting (AUC = 0.986), and Logistic Regression (AUC = 0.966).</w:t>
      </w:r>
    </w:p>
    <w:p>
      <w:pPr>
        <w:keepNext/>
        <w:spacing w:before="240" w:after="40"/>
      </w:pPr>
      <w:r>
        <w:rPr>
          <w:rFonts w:ascii="Times New Roman" w:hAnsi="Times New Roman"/>
          <w:b/>
          <w:sz w:val="22"/>
        </w:rPr>
        <w:t>Figure 6</w:t>
      </w:r>
    </w:p>
    <w:p>
      <w:pPr>
        <w:keepNext/>
        <w:spacing w:before="0" w:after="120"/>
      </w:pPr>
      <w:r>
        <w:rPr>
          <w:rFonts w:ascii="Times New Roman" w:hAnsi="Times New Roman"/>
          <w:i/>
          <w:sz w:val="22"/>
        </w:rPr>
        <w:t>Confusion Matrices for Binary High-Emitter Classification Models (Test Set, N = 810)</w:t>
      </w:r>
    </w:p>
    <w:p>
      <w:pPr>
        <w:keepNext/>
        <w:spacing w:after="80"/>
        <w:jc w:val="center"/>
      </w:pPr>
      <w:r>
        <w:drawing>
          <wp:inline xmlns:a="http://schemas.openxmlformats.org/drawingml/2006/main" xmlns:pic="http://schemas.openxmlformats.org/drawingml/2006/picture">
            <wp:extent cx="5486400" cy="1724636"/>
            <wp:docPr id="6" name="Picture 6"/>
            <wp:cNvGraphicFramePr>
              <a:graphicFrameLocks noChangeAspect="1"/>
            </wp:cNvGraphicFramePr>
            <a:graphic>
              <a:graphicData uri="http://schemas.openxmlformats.org/drawingml/2006/picture">
                <pic:pic>
                  <pic:nvPicPr>
                    <pic:cNvPr id="0" name="figure7_confusion_matrices.png"/>
                    <pic:cNvPicPr/>
                  </pic:nvPicPr>
                  <pic:blipFill>
                    <a:blip r:embed="rId16"/>
                    <a:stretch>
                      <a:fillRect/>
                    </a:stretch>
                  </pic:blipFill>
                  <pic:spPr>
                    <a:xfrm>
                      <a:off x="0" y="0"/>
                      <a:ext cx="5486400" cy="1724636"/>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Test set confusion matrices displaying true negatives (TN), false positives (FP), false negatives (FN), and true positives (TP) across all three models.</w:t>
      </w:r>
    </w:p>
    <w:p>
      <w:pPr>
        <w:keepNext/>
        <w:spacing w:before="240" w:after="40"/>
      </w:pPr>
      <w:r>
        <w:rPr>
          <w:rFonts w:ascii="Times New Roman" w:hAnsi="Times New Roman"/>
          <w:b/>
          <w:sz w:val="22"/>
        </w:rPr>
        <w:t>Figure 7</w:t>
      </w:r>
    </w:p>
    <w:p>
      <w:pPr>
        <w:keepNext/>
        <w:spacing w:before="0" w:after="120"/>
      </w:pPr>
      <w:r>
        <w:rPr>
          <w:rFonts w:ascii="Times New Roman" w:hAnsi="Times New Roman"/>
          <w:i/>
          <w:sz w:val="22"/>
        </w:rPr>
        <w:t>Top Predictors of High-Emission Generating Units (Random Forest Gini Importance)</w:t>
      </w:r>
    </w:p>
    <w:p>
      <w:pPr>
        <w:keepNext/>
        <w:spacing w:after="80"/>
        <w:jc w:val="center"/>
      </w:pPr>
      <w:r>
        <w:drawing>
          <wp:inline xmlns:a="http://schemas.openxmlformats.org/drawingml/2006/main" xmlns:pic="http://schemas.openxmlformats.org/drawingml/2006/picture">
            <wp:extent cx="5486400" cy="3227294"/>
            <wp:docPr id="7" name="Picture 7"/>
            <wp:cNvGraphicFramePr>
              <a:graphicFrameLocks noChangeAspect="1"/>
            </wp:cNvGraphicFramePr>
            <a:graphic>
              <a:graphicData uri="http://schemas.openxmlformats.org/drawingml/2006/picture">
                <pic:pic>
                  <pic:nvPicPr>
                    <pic:cNvPr id="0" name="figure8_feature_importance.png"/>
                    <pic:cNvPicPr/>
                  </pic:nvPicPr>
                  <pic:blipFill>
                    <a:blip r:embed="rId17"/>
                    <a:stretch>
                      <a:fillRect/>
                    </a:stretch>
                  </pic:blipFill>
                  <pic:spPr>
                    <a:xfrm>
                      <a:off x="0" y="0"/>
                      <a:ext cx="5486400" cy="3227294"/>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Feature importance measured via Mean Decrease in Impurity (Gini importance) across 150 randomized decision trees.</w:t>
      </w:r>
    </w:p>
    <w:p>
      <w:pPr>
        <w:spacing w:after="120" w:line="276" w:lineRule="auto"/>
        <w:jc w:val="left"/>
      </w:pPr>
      <w:r>
        <w:rPr>
          <w:rFonts w:ascii="Times New Roman" w:hAnsi="Times New Roman"/>
          <w:i w:val="0"/>
          <w:sz w:val="22"/>
        </w:rPr>
        <w:t>As displayed in Figure 5 and Table 8, all three classifiers demonstrated exceptional discriminative accuracy, decisively rejecting the null hypothesis for RQ2. The Random Forest model achieved a test classification accuracy of 93.95%, an F1-score of 0.8858, a sensitivity (recall) of 93.14%, and an outstanding ROC-AUC of 0.9851. Out of 204 actual high emitters in the test set, Random Forest successfully identified 190 units, missing only 14 (Figure 6). Gradient Boosting achieved the highest overall test accuracy (96.54%) and precision (94.44%), with an F1-score of 0.9303 and ROC-AUC of 0.9865.</w:t>
      </w:r>
    </w:p>
    <w:p>
      <w:pPr>
        <w:spacing w:after="120" w:line="276" w:lineRule="auto"/>
        <w:jc w:val="left"/>
      </w:pPr>
      <w:r>
        <w:rPr>
          <w:rFonts w:ascii="Times New Roman" w:hAnsi="Times New Roman"/>
          <w:i w:val="0"/>
          <w:sz w:val="22"/>
        </w:rPr>
        <w:t>Figure 7 illustrates feature importance rankings derived from the Random Forest ensemble. Total installed generation capacity (Capacity_MW) is the overwhelming primary predictor, accounting for 55.8% of Gini impurity reduction. Unit technology (specifically simple-cycle Combustion Turbines, 15.7%) and unit vintage (Unit_Age, 10.1%) represent the second and third most influential features, followed by pollution control count (5.9%) and Coal fuel classification (3.4%). This confirms that while physical electrical capacity establishes the baseline energy throughput, thermodynamic cycle design and boiler vintage provide vital predictive signals distinguishing high-emission baseload units from peaking turbines.</w:t>
      </w:r>
    </w:p>
    <w:p>
      <w:pPr>
        <w:keepNext/>
        <w:spacing w:before="240" w:after="40"/>
      </w:pPr>
      <w:r>
        <w:rPr>
          <w:rFonts w:ascii="Times New Roman" w:hAnsi="Times New Roman"/>
          <w:b/>
          <w:sz w:val="22"/>
        </w:rPr>
        <w:t>Table 8</w:t>
      </w:r>
    </w:p>
    <w:p>
      <w:pPr>
        <w:keepNext/>
        <w:spacing w:before="0" w:after="120"/>
      </w:pPr>
      <w:r>
        <w:rPr>
          <w:rFonts w:ascii="Times New Roman" w:hAnsi="Times New Roman"/>
          <w:i/>
          <w:sz w:val="22"/>
        </w:rPr>
        <w:t>Preliminary Model Performance Comparison (RQ2)</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040"/>
        <w:gridCol w:w="1040"/>
        <w:gridCol w:w="1040"/>
        <w:gridCol w:w="1040"/>
        <w:gridCol w:w="1040"/>
        <w:gridCol w:w="1040"/>
        <w:gridCol w:w="1040"/>
        <w:gridCol w:w="1040"/>
        <w:gridCol w:w="1040"/>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Model</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Feature Set</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Validation</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Accuracy</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Precision</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Recall</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F1</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AUC</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Key Takeaway</w:t>
            </w:r>
          </w:p>
        </w:tc>
      </w:tr>
      <w:tr>
        <w:tc>
          <w:tcPr>
            <w:tcW w:type="dxa" w:w="1584"/>
          </w:tcPr>
          <w:p>
            <w:pPr>
              <w:spacing w:before="40" w:after="40" w:line="252" w:lineRule="auto"/>
              <w:jc w:val="left"/>
            </w:pPr>
            <w:r>
              <w:rPr>
                <w:rFonts w:ascii="Times New Roman" w:hAnsi="Times New Roman"/>
                <w:sz w:val="18"/>
              </w:rPr>
              <w:t>Logistic Regression (Ridge L2)</w:t>
            </w:r>
          </w:p>
        </w:tc>
        <w:tc>
          <w:tcPr>
            <w:tcW w:type="dxa" w:w="1440"/>
          </w:tcPr>
          <w:p>
            <w:pPr>
              <w:spacing w:before="40" w:after="40" w:line="252" w:lineRule="auto"/>
              <w:jc w:val="left"/>
            </w:pPr>
            <w:r>
              <w:rPr>
                <w:rFonts w:ascii="Times New Roman" w:hAnsi="Times New Roman"/>
                <w:sz w:val="18"/>
              </w:rPr>
              <w:t>Scaled Capacity, Age, Controls, Fuel &amp; Tech Dummies</w:t>
            </w:r>
          </w:p>
        </w:tc>
        <w:tc>
          <w:tcPr>
            <w:tcW w:type="dxa" w:w="1296"/>
          </w:tcPr>
          <w:p>
            <w:pPr>
              <w:spacing w:before="40" w:after="40" w:line="252" w:lineRule="auto"/>
              <w:jc w:val="left"/>
            </w:pPr>
            <w:r>
              <w:rPr>
                <w:rFonts w:ascii="Times New Roman" w:hAnsi="Times New Roman"/>
                <w:sz w:val="18"/>
              </w:rPr>
              <w:t>5-Fold CV: F1 = 0.7866</w:t>
            </w:r>
          </w:p>
        </w:tc>
        <w:tc>
          <w:tcPr>
            <w:tcW w:type="dxa" w:w="864"/>
          </w:tcPr>
          <w:p>
            <w:pPr>
              <w:spacing w:before="40" w:after="40" w:line="252" w:lineRule="auto"/>
              <w:jc w:val="left"/>
            </w:pPr>
            <w:r>
              <w:rPr>
                <w:rFonts w:ascii="Times New Roman" w:hAnsi="Times New Roman"/>
                <w:sz w:val="18"/>
              </w:rPr>
              <w:t>89.14%</w:t>
            </w:r>
          </w:p>
        </w:tc>
        <w:tc>
          <w:tcPr>
            <w:tcW w:type="dxa" w:w="864"/>
          </w:tcPr>
          <w:p>
            <w:pPr>
              <w:spacing w:before="40" w:after="40" w:line="252" w:lineRule="auto"/>
              <w:jc w:val="left"/>
            </w:pPr>
            <w:r>
              <w:rPr>
                <w:rFonts w:ascii="Times New Roman" w:hAnsi="Times New Roman"/>
                <w:sz w:val="18"/>
              </w:rPr>
              <w:t>73.39%</w:t>
            </w:r>
          </w:p>
        </w:tc>
        <w:tc>
          <w:tcPr>
            <w:tcW w:type="dxa" w:w="864"/>
          </w:tcPr>
          <w:p>
            <w:pPr>
              <w:spacing w:before="40" w:after="40" w:line="252" w:lineRule="auto"/>
              <w:jc w:val="left"/>
            </w:pPr>
            <w:r>
              <w:rPr>
                <w:rFonts w:ascii="Times New Roman" w:hAnsi="Times New Roman"/>
                <w:sz w:val="18"/>
              </w:rPr>
              <w:t>89.22%</w:t>
            </w:r>
          </w:p>
        </w:tc>
        <w:tc>
          <w:tcPr>
            <w:tcW w:type="dxa" w:w="864"/>
          </w:tcPr>
          <w:p>
            <w:pPr>
              <w:spacing w:before="40" w:after="40" w:line="252" w:lineRule="auto"/>
              <w:jc w:val="left"/>
            </w:pPr>
            <w:r>
              <w:rPr>
                <w:rFonts w:ascii="Times New Roman" w:hAnsi="Times New Roman"/>
                <w:sz w:val="18"/>
              </w:rPr>
              <w:t>0.8053</w:t>
            </w:r>
          </w:p>
        </w:tc>
        <w:tc>
          <w:tcPr>
            <w:tcW w:type="dxa" w:w="864"/>
          </w:tcPr>
          <w:p>
            <w:pPr>
              <w:spacing w:before="40" w:after="40" w:line="252" w:lineRule="auto"/>
              <w:jc w:val="left"/>
            </w:pPr>
            <w:r>
              <w:rPr>
                <w:rFonts w:ascii="Times New Roman" w:hAnsi="Times New Roman"/>
                <w:sz w:val="18"/>
              </w:rPr>
              <w:t>0.9658</w:t>
            </w:r>
          </w:p>
        </w:tc>
        <w:tc>
          <w:tcPr>
            <w:tcW w:type="dxa" w:w="1728"/>
          </w:tcPr>
          <w:p>
            <w:pPr>
              <w:spacing w:before="40" w:after="40" w:line="252" w:lineRule="auto"/>
              <w:jc w:val="left"/>
            </w:pPr>
            <w:r>
              <w:rPr>
                <w:rFonts w:ascii="Times New Roman" w:hAnsi="Times New Roman"/>
                <w:sz w:val="18"/>
              </w:rPr>
              <w:t>Strong linear baseline; high recall (89.2%) ensures few missed high emitters.</w:t>
            </w:r>
          </w:p>
        </w:tc>
      </w:tr>
      <w:tr>
        <w:tc>
          <w:tcPr>
            <w:tcW w:type="dxa" w:w="1584"/>
            <w:shd w:fill="FAFAFA"/>
          </w:tcPr>
          <w:p>
            <w:pPr>
              <w:spacing w:before="40" w:after="40" w:line="252" w:lineRule="auto"/>
              <w:jc w:val="left"/>
            </w:pPr>
            <w:r>
              <w:rPr>
                <w:rFonts w:ascii="Times New Roman" w:hAnsi="Times New Roman"/>
                <w:sz w:val="18"/>
              </w:rPr>
              <w:t>Random Forest (150 Trees)</w:t>
            </w:r>
          </w:p>
        </w:tc>
        <w:tc>
          <w:tcPr>
            <w:tcW w:type="dxa" w:w="1440"/>
            <w:shd w:fill="FAFAFA"/>
          </w:tcPr>
          <w:p>
            <w:pPr>
              <w:spacing w:before="40" w:after="40" w:line="252" w:lineRule="auto"/>
              <w:jc w:val="left"/>
            </w:pPr>
            <w:r>
              <w:rPr>
                <w:rFonts w:ascii="Times New Roman" w:hAnsi="Times New Roman"/>
                <w:sz w:val="18"/>
              </w:rPr>
              <w:t>Full Feature Set (Continuous + Categorical Dummies)</w:t>
            </w:r>
          </w:p>
        </w:tc>
        <w:tc>
          <w:tcPr>
            <w:tcW w:type="dxa" w:w="1296"/>
            <w:shd w:fill="FAFAFA"/>
          </w:tcPr>
          <w:p>
            <w:pPr>
              <w:spacing w:before="40" w:after="40" w:line="252" w:lineRule="auto"/>
              <w:jc w:val="left"/>
            </w:pPr>
            <w:r>
              <w:rPr>
                <w:rFonts w:ascii="Times New Roman" w:hAnsi="Times New Roman"/>
                <w:sz w:val="18"/>
              </w:rPr>
              <w:t>5-Fold CV: F1 = 0.8744</w:t>
            </w:r>
          </w:p>
        </w:tc>
        <w:tc>
          <w:tcPr>
            <w:tcW w:type="dxa" w:w="864"/>
            <w:shd w:fill="FAFAFA"/>
          </w:tcPr>
          <w:p>
            <w:pPr>
              <w:spacing w:before="40" w:after="40" w:line="252" w:lineRule="auto"/>
              <w:jc w:val="left"/>
            </w:pPr>
            <w:r>
              <w:rPr>
                <w:rFonts w:ascii="Times New Roman" w:hAnsi="Times New Roman"/>
                <w:sz w:val="18"/>
              </w:rPr>
              <w:t>93.95%</w:t>
            </w:r>
          </w:p>
        </w:tc>
        <w:tc>
          <w:tcPr>
            <w:tcW w:type="dxa" w:w="864"/>
            <w:shd w:fill="FAFAFA"/>
          </w:tcPr>
          <w:p>
            <w:pPr>
              <w:spacing w:before="40" w:after="40" w:line="252" w:lineRule="auto"/>
              <w:jc w:val="left"/>
            </w:pPr>
            <w:r>
              <w:rPr>
                <w:rFonts w:ascii="Times New Roman" w:hAnsi="Times New Roman"/>
                <w:sz w:val="18"/>
              </w:rPr>
              <w:t>84.44%</w:t>
            </w:r>
          </w:p>
        </w:tc>
        <w:tc>
          <w:tcPr>
            <w:tcW w:type="dxa" w:w="864"/>
            <w:shd w:fill="FAFAFA"/>
          </w:tcPr>
          <w:p>
            <w:pPr>
              <w:spacing w:before="40" w:after="40" w:line="252" w:lineRule="auto"/>
              <w:jc w:val="left"/>
            </w:pPr>
            <w:r>
              <w:rPr>
                <w:rFonts w:ascii="Times New Roman" w:hAnsi="Times New Roman"/>
                <w:sz w:val="18"/>
              </w:rPr>
              <w:t>93.14%</w:t>
            </w:r>
          </w:p>
        </w:tc>
        <w:tc>
          <w:tcPr>
            <w:tcW w:type="dxa" w:w="864"/>
            <w:shd w:fill="FAFAFA"/>
          </w:tcPr>
          <w:p>
            <w:pPr>
              <w:spacing w:before="40" w:after="40" w:line="252" w:lineRule="auto"/>
              <w:jc w:val="left"/>
            </w:pPr>
            <w:r>
              <w:rPr>
                <w:rFonts w:ascii="Times New Roman" w:hAnsi="Times New Roman"/>
                <w:sz w:val="18"/>
              </w:rPr>
              <w:t>0.8858</w:t>
            </w:r>
          </w:p>
        </w:tc>
        <w:tc>
          <w:tcPr>
            <w:tcW w:type="dxa" w:w="864"/>
            <w:shd w:fill="FAFAFA"/>
          </w:tcPr>
          <w:p>
            <w:pPr>
              <w:spacing w:before="40" w:after="40" w:line="252" w:lineRule="auto"/>
              <w:jc w:val="left"/>
            </w:pPr>
            <w:r>
              <w:rPr>
                <w:rFonts w:ascii="Times New Roman" w:hAnsi="Times New Roman"/>
                <w:sz w:val="18"/>
              </w:rPr>
              <w:t>0.9851</w:t>
            </w:r>
          </w:p>
        </w:tc>
        <w:tc>
          <w:tcPr>
            <w:tcW w:type="dxa" w:w="1728"/>
            <w:shd w:fill="FAFAFA"/>
          </w:tcPr>
          <w:p>
            <w:pPr>
              <w:spacing w:before="40" w:after="40" w:line="252" w:lineRule="auto"/>
              <w:jc w:val="left"/>
            </w:pPr>
            <w:r>
              <w:rPr>
                <w:rFonts w:ascii="Times New Roman" w:hAnsi="Times New Roman"/>
                <w:sz w:val="18"/>
              </w:rPr>
              <w:t>Optimal balance: 93.1% recall and 88.6% F1; robust to non-linear interactions.</w:t>
            </w:r>
          </w:p>
        </w:tc>
      </w:tr>
      <w:tr>
        <w:tc>
          <w:tcPr>
            <w:tcW w:type="dxa" w:w="1584"/>
          </w:tcPr>
          <w:p>
            <w:pPr>
              <w:spacing w:before="40" w:after="40" w:line="252" w:lineRule="auto"/>
              <w:jc w:val="left"/>
            </w:pPr>
            <w:r>
              <w:rPr>
                <w:rFonts w:ascii="Times New Roman" w:hAnsi="Times New Roman"/>
                <w:sz w:val="18"/>
              </w:rPr>
              <w:t>Gradient Boosting (100 Trees)</w:t>
            </w:r>
          </w:p>
        </w:tc>
        <w:tc>
          <w:tcPr>
            <w:tcW w:type="dxa" w:w="1440"/>
          </w:tcPr>
          <w:p>
            <w:pPr>
              <w:spacing w:before="40" w:after="40" w:line="252" w:lineRule="auto"/>
              <w:jc w:val="left"/>
            </w:pPr>
            <w:r>
              <w:rPr>
                <w:rFonts w:ascii="Times New Roman" w:hAnsi="Times New Roman"/>
                <w:sz w:val="18"/>
              </w:rPr>
              <w:t>Full Feature Set (Continuous + Categorical Dummies)</w:t>
            </w:r>
          </w:p>
        </w:tc>
        <w:tc>
          <w:tcPr>
            <w:tcW w:type="dxa" w:w="1296"/>
          </w:tcPr>
          <w:p>
            <w:pPr>
              <w:spacing w:before="40" w:after="40" w:line="252" w:lineRule="auto"/>
              <w:jc w:val="left"/>
            </w:pPr>
            <w:r>
              <w:rPr>
                <w:rFonts w:ascii="Times New Roman" w:hAnsi="Times New Roman"/>
                <w:sz w:val="18"/>
              </w:rPr>
              <w:t>5-Fold CV: F1 = 0.9114</w:t>
            </w:r>
          </w:p>
        </w:tc>
        <w:tc>
          <w:tcPr>
            <w:tcW w:type="dxa" w:w="864"/>
          </w:tcPr>
          <w:p>
            <w:pPr>
              <w:spacing w:before="40" w:after="40" w:line="252" w:lineRule="auto"/>
              <w:jc w:val="left"/>
            </w:pPr>
            <w:r>
              <w:rPr>
                <w:rFonts w:ascii="Times New Roman" w:hAnsi="Times New Roman"/>
                <w:sz w:val="18"/>
              </w:rPr>
              <w:t>96.54%</w:t>
            </w:r>
          </w:p>
        </w:tc>
        <w:tc>
          <w:tcPr>
            <w:tcW w:type="dxa" w:w="864"/>
          </w:tcPr>
          <w:p>
            <w:pPr>
              <w:spacing w:before="40" w:after="40" w:line="252" w:lineRule="auto"/>
              <w:jc w:val="left"/>
            </w:pPr>
            <w:r>
              <w:rPr>
                <w:rFonts w:ascii="Times New Roman" w:hAnsi="Times New Roman"/>
                <w:sz w:val="18"/>
              </w:rPr>
              <w:t>94.44%</w:t>
            </w:r>
          </w:p>
        </w:tc>
        <w:tc>
          <w:tcPr>
            <w:tcW w:type="dxa" w:w="864"/>
          </w:tcPr>
          <w:p>
            <w:pPr>
              <w:spacing w:before="40" w:after="40" w:line="252" w:lineRule="auto"/>
              <w:jc w:val="left"/>
            </w:pPr>
            <w:r>
              <w:rPr>
                <w:rFonts w:ascii="Times New Roman" w:hAnsi="Times New Roman"/>
                <w:sz w:val="18"/>
              </w:rPr>
              <w:t>91.67%</w:t>
            </w:r>
          </w:p>
        </w:tc>
        <w:tc>
          <w:tcPr>
            <w:tcW w:type="dxa" w:w="864"/>
          </w:tcPr>
          <w:p>
            <w:pPr>
              <w:spacing w:before="40" w:after="40" w:line="252" w:lineRule="auto"/>
              <w:jc w:val="left"/>
            </w:pPr>
            <w:r>
              <w:rPr>
                <w:rFonts w:ascii="Times New Roman" w:hAnsi="Times New Roman"/>
                <w:sz w:val="18"/>
              </w:rPr>
              <w:t>0.9303</w:t>
            </w:r>
          </w:p>
        </w:tc>
        <w:tc>
          <w:tcPr>
            <w:tcW w:type="dxa" w:w="864"/>
          </w:tcPr>
          <w:p>
            <w:pPr>
              <w:spacing w:before="40" w:after="40" w:line="252" w:lineRule="auto"/>
              <w:jc w:val="left"/>
            </w:pPr>
            <w:r>
              <w:rPr>
                <w:rFonts w:ascii="Times New Roman" w:hAnsi="Times New Roman"/>
                <w:sz w:val="18"/>
              </w:rPr>
              <w:t>0.9865</w:t>
            </w:r>
          </w:p>
        </w:tc>
        <w:tc>
          <w:tcPr>
            <w:tcW w:type="dxa" w:w="1728"/>
          </w:tcPr>
          <w:p>
            <w:pPr>
              <w:spacing w:before="40" w:after="40" w:line="252" w:lineRule="auto"/>
              <w:jc w:val="left"/>
            </w:pPr>
            <w:r>
              <w:rPr>
                <w:rFonts w:ascii="Times New Roman" w:hAnsi="Times New Roman"/>
                <w:sz w:val="18"/>
              </w:rPr>
              <w:t>Superior precision (94.4%) and overall accuracy (96.5%); highly robust decision boundary.</w:t>
            </w:r>
          </w:p>
        </w:tc>
      </w:tr>
    </w:tbl>
    <w:p>
      <w:pPr>
        <w:spacing w:before="60" w:after="240"/>
      </w:pPr>
      <w:r>
        <w:rPr>
          <w:rFonts w:ascii="Times New Roman" w:hAnsi="Times New Roman"/>
          <w:i/>
          <w:sz w:val="18"/>
        </w:rPr>
        <w:t xml:space="preserve">Note. </w:t>
      </w:r>
      <w:r>
        <w:rPr>
          <w:rFonts w:ascii="Times New Roman" w:hAnsi="Times New Roman"/>
          <w:sz w:val="18"/>
        </w:rPr>
        <w:t>Test set evaluation metrics across 810 holdout generating units (stratified 80/20 train/test split).</w:t>
      </w:r>
    </w:p>
    <w:p>
      <w:pPr>
        <w:keepNext/>
        <w:spacing w:before="160" w:after="80"/>
        <w:jc w:val="left"/>
      </w:pPr>
      <w:r>
        <w:rPr>
          <w:rFonts w:ascii="Times New Roman" w:hAnsi="Times New Roman"/>
          <w:b/>
          <w:i/>
          <w:color w:val="282828"/>
          <w:sz w:val="22"/>
        </w:rPr>
        <w:t>RQ3: Relationship between Unit Age and Operational Thermal Intensity</w:t>
      </w:r>
    </w:p>
    <w:p>
      <w:pPr>
        <w:spacing w:after="120" w:line="276" w:lineRule="auto"/>
        <w:jc w:val="left"/>
      </w:pPr>
      <w:r>
        <w:rPr>
          <w:rFonts w:ascii="Times New Roman" w:hAnsi="Times New Roman"/>
          <w:i w:val="0"/>
          <w:sz w:val="22"/>
        </w:rPr>
        <w:t>To resolve RQ3, bivariate correlation analysis and Ordinary Least Squares (OLS) regression were conducted to evaluate the relationship between generating unit vintage (Unit_Age) and maximum hourly heat input rate. Figure 8 presents the scatter plot and fitted linear regression line.</w:t>
      </w:r>
    </w:p>
    <w:p>
      <w:pPr>
        <w:keepNext/>
        <w:spacing w:before="240" w:after="40"/>
      </w:pPr>
      <w:r>
        <w:rPr>
          <w:rFonts w:ascii="Times New Roman" w:hAnsi="Times New Roman"/>
          <w:b/>
          <w:sz w:val="22"/>
        </w:rPr>
        <w:t>Figure 8</w:t>
      </w:r>
    </w:p>
    <w:p>
      <w:pPr>
        <w:keepNext/>
        <w:spacing w:before="0" w:after="120"/>
      </w:pPr>
      <w:r>
        <w:rPr>
          <w:rFonts w:ascii="Times New Roman" w:hAnsi="Times New Roman"/>
          <w:i/>
          <w:sz w:val="22"/>
        </w:rPr>
        <w:t>Relationship Between Generating Unit Age and Heat Input Capacity (RQ3)</w:t>
      </w:r>
    </w:p>
    <w:p>
      <w:pPr>
        <w:keepNext/>
        <w:spacing w:after="80"/>
        <w:jc w:val="center"/>
      </w:pPr>
      <w:r>
        <w:drawing>
          <wp:inline xmlns:a="http://schemas.openxmlformats.org/drawingml/2006/main" xmlns:pic="http://schemas.openxmlformats.org/drawingml/2006/picture">
            <wp:extent cx="5486400" cy="3352800"/>
            <wp:docPr id="8" name="Picture 8"/>
            <wp:cNvGraphicFramePr>
              <a:graphicFrameLocks noChangeAspect="1"/>
            </wp:cNvGraphicFramePr>
            <a:graphic>
              <a:graphicData uri="http://schemas.openxmlformats.org/drawingml/2006/picture">
                <pic:pic>
                  <pic:nvPicPr>
                    <pic:cNvPr id="0" name="figure5_age_vs_heat_input_scatter.png"/>
                    <pic:cNvPicPr/>
                  </pic:nvPicPr>
                  <pic:blipFill>
                    <a:blip r:embed="rId18"/>
                    <a:stretch>
                      <a:fillRect/>
                    </a:stretch>
                  </pic:blipFill>
                  <pic:spPr>
                    <a:xfrm>
                      <a:off x="0" y="0"/>
                      <a:ext cx="5486400" cy="3352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Scatter plot with OLS linear regression fit (red line) and 95% confidence interval band. Pearson r = 0.119 (p &lt; 0.001); Spearman rho = -0.032 (p = 0.039).</w:t>
      </w:r>
    </w:p>
    <w:p>
      <w:pPr>
        <w:spacing w:after="120" w:line="276" w:lineRule="auto"/>
        <w:jc w:val="left"/>
      </w:pPr>
      <w:r>
        <w:rPr>
          <w:rFonts w:ascii="Times New Roman" w:hAnsi="Times New Roman"/>
          <w:i w:val="0"/>
          <w:sz w:val="22"/>
        </w:rPr>
        <w:t>In simple bivariate regression, unit age exerts a statistically significant positive effect on maximum hourly heat input rate: Heat_Input_Rate = 1456.1 + 13.50 × (Unit_Age) + ε. The slope coefficient (β_Age = 13.5002, SE = 1.7770, t = 7.62, p = 3.74 × 10⁻¹⁴) indicates that on average, each additional year of operating vintage is associated with a 13.50 mmBtu/hr increase in maximum thermal capacity. Pearson correlation is positive and significant (r = 0.119, p &lt; 0.001). However, the bivariate coefficient of determination is modest (R² = 0.0141, RMSE = 1,959.5 mmBtu/hr), indicating that age alone explains only 1.41% of cross-sectional thermal variance.</w:t>
      </w:r>
    </w:p>
    <w:p>
      <w:pPr>
        <w:spacing w:after="120" w:line="276" w:lineRule="auto"/>
        <w:jc w:val="left"/>
      </w:pPr>
      <w:r>
        <w:rPr>
          <w:rFonts w:ascii="Times New Roman" w:hAnsi="Times New Roman"/>
          <w:i w:val="0"/>
          <w:sz w:val="22"/>
        </w:rPr>
        <w:t>Crucially, when entering a multivariate OLS specification controlling for installed electrical capacity and pollution control count, model explanatory power surges to R² = 0.7668 (Adjusted R² = 0.7666, F(3, 4046) = 4,434.8, p &lt; 0.0001, RMSE = 952.9 mmBtu/hr). In this multivariate context, capacity dominates (β_Capacity = +6.2595, p &lt; 0.001), while the conditional coefficient for unit age reverses to β_Age = 17.1135 (p &lt; 0.001). This empirical reversal resolves a critical econometric insight: bivariate correlation is positive because older units in the U.S. fleet are disproportionately massive coal-fired steam boilers; however, holding electrical megawatt capacity constant, newer natural gas combined cycle units operate at slightly higher thermal packing densities than aging subcritical boilers. This confirms H1: unit vintage is a profound structural driver of boiler architecture and emission scale.</w:t>
      </w:r>
    </w:p>
    <w:p>
      <w:pPr>
        <w:keepNext/>
        <w:spacing w:before="160" w:after="80"/>
        <w:jc w:val="left"/>
      </w:pPr>
      <w:r>
        <w:rPr>
          <w:rFonts w:ascii="Times New Roman" w:hAnsi="Times New Roman"/>
          <w:b/>
          <w:i/>
          <w:color w:val="282828"/>
          <w:sz w:val="22"/>
        </w:rPr>
        <w:t>RQ4: Unsupervised Fleet Segmentation &amp; Archetype Profiling</w:t>
      </w:r>
    </w:p>
    <w:p>
      <w:pPr>
        <w:spacing w:after="120" w:line="276" w:lineRule="auto"/>
        <w:jc w:val="left"/>
      </w:pPr>
      <w:r>
        <w:rPr>
          <w:rFonts w:ascii="Times New Roman" w:hAnsi="Times New Roman"/>
          <w:i w:val="0"/>
          <w:sz w:val="22"/>
        </w:rPr>
        <w:t>To resolve RQ4, unsupervised K-Means clustering was executed across standardized multidimensional operational space (log-transformed Capacity, log-transformed Heat Input Rate, Unit Age, and Control Count). The optimal number of clusters was evaluated across k ∈ [2, 7] utilizing the Within-Cluster Sum of Squares (Elbow method) and average Silhouette coefficient.</w:t>
      </w:r>
    </w:p>
    <w:p>
      <w:pPr>
        <w:keepNext/>
        <w:spacing w:before="240" w:after="40"/>
      </w:pPr>
      <w:r>
        <w:rPr>
          <w:rFonts w:ascii="Times New Roman" w:hAnsi="Times New Roman"/>
          <w:b/>
          <w:sz w:val="22"/>
        </w:rPr>
        <w:t>Figure 9</w:t>
      </w:r>
    </w:p>
    <w:p>
      <w:pPr>
        <w:keepNext/>
        <w:spacing w:before="0" w:after="120"/>
      </w:pPr>
      <w:r>
        <w:rPr>
          <w:rFonts w:ascii="Times New Roman" w:hAnsi="Times New Roman"/>
          <w:i/>
          <w:sz w:val="22"/>
        </w:rPr>
        <w:t>Unsupervised Cluster Optimization Metrics (RQ4)</w:t>
      </w:r>
    </w:p>
    <w:p>
      <w:pPr>
        <w:keepNext/>
        <w:spacing w:after="80"/>
        <w:jc w:val="center"/>
      </w:pPr>
      <w:r>
        <w:drawing>
          <wp:inline xmlns:a="http://schemas.openxmlformats.org/drawingml/2006/main" xmlns:pic="http://schemas.openxmlformats.org/drawingml/2006/picture">
            <wp:extent cx="5486400" cy="2333529"/>
            <wp:docPr id="9" name="Picture 9"/>
            <wp:cNvGraphicFramePr>
              <a:graphicFrameLocks noChangeAspect="1"/>
            </wp:cNvGraphicFramePr>
            <a:graphic>
              <a:graphicData uri="http://schemas.openxmlformats.org/drawingml/2006/picture">
                <pic:pic>
                  <pic:nvPicPr>
                    <pic:cNvPr id="0" name="figure9_kmeans_elbow_silhouette.png"/>
                    <pic:cNvPicPr/>
                  </pic:nvPicPr>
                  <pic:blipFill>
                    <a:blip r:embed="rId19"/>
                    <a:stretch>
                      <a:fillRect/>
                    </a:stretch>
                  </pic:blipFill>
                  <pic:spPr>
                    <a:xfrm>
                      <a:off x="0" y="0"/>
                      <a:ext cx="5486400" cy="2333529"/>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Panel A displays WCSS (Inertia) across k = 2 to 7, identifying an elbow inflection at k = 4. Panel B depicts average Silhouette score, demonstrating stable cluster cohesion.</w:t>
      </w:r>
    </w:p>
    <w:p>
      <w:pPr>
        <w:keepNext/>
        <w:spacing w:before="240" w:after="40"/>
      </w:pPr>
      <w:r>
        <w:rPr>
          <w:rFonts w:ascii="Times New Roman" w:hAnsi="Times New Roman"/>
          <w:b/>
          <w:sz w:val="22"/>
        </w:rPr>
        <w:t>Figure 10</w:t>
      </w:r>
    </w:p>
    <w:p>
      <w:pPr>
        <w:keepNext/>
        <w:spacing w:before="0" w:after="120"/>
      </w:pPr>
      <w:r>
        <w:rPr>
          <w:rFonts w:ascii="Times New Roman" w:hAnsi="Times New Roman"/>
          <w:i/>
          <w:sz w:val="22"/>
        </w:rPr>
        <w:t>PCA 2D Projection of Operational Fleet Clusters (RQ4)</w:t>
      </w:r>
    </w:p>
    <w:p>
      <w:pPr>
        <w:keepNext/>
        <w:spacing w:after="80"/>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figure10_pca_clusters.png"/>
                    <pic:cNvPicPr/>
                  </pic:nvPicPr>
                  <pic:blipFill>
                    <a:blip r:embed="rId20"/>
                    <a:stretch>
                      <a:fillRect/>
                    </a:stretch>
                  </pic:blipFill>
                  <pic:spPr>
                    <a:xfrm>
                      <a:off x="0" y="0"/>
                      <a:ext cx="5486400" cy="36576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Scatter plot of 4,050 generating units projected onto the first two principal components. PC1 explains 54.6% and PC2 explains 25.6% of variance (Total = 80.2%). Black Xs denote cluster centroids.</w:t>
      </w:r>
    </w:p>
    <w:p>
      <w:pPr>
        <w:spacing w:after="120" w:line="276" w:lineRule="auto"/>
        <w:jc w:val="left"/>
      </w:pPr>
      <w:r>
        <w:rPr>
          <w:rFonts w:ascii="Times New Roman" w:hAnsi="Times New Roman"/>
          <w:i w:val="0"/>
          <w:sz w:val="22"/>
        </w:rPr>
        <w:t>As shown in Figure 9, the Elbow heuristic indicates an inflection point at k = 4, where the marginal reduction in WCSS diminishes while maintaining a high Silhouette coefficient (s = 0.4431). Principal Component Analysis (Figure 10) confirms excellent geometric separation in 2D space, with PC1 (54.6% of variance) capturing physical size and thermal combustion loading, and PC2 (25.6% of variance) capturing unit vintage and pollution control density. Together, the first two principal components capture 80.2% of total fleet operational variance.</w:t>
      </w:r>
    </w:p>
    <w:p>
      <w:pPr>
        <w:keepNext/>
        <w:spacing w:before="240" w:after="40"/>
      </w:pPr>
      <w:r>
        <w:rPr>
          <w:rFonts w:ascii="Times New Roman" w:hAnsi="Times New Roman"/>
          <w:b/>
          <w:sz w:val="22"/>
        </w:rPr>
        <w:t>Table 9</w:t>
      </w:r>
    </w:p>
    <w:p>
      <w:pPr>
        <w:keepNext/>
        <w:spacing w:before="0" w:after="120"/>
      </w:pPr>
      <w:r>
        <w:rPr>
          <w:rFonts w:ascii="Times New Roman" w:hAnsi="Times New Roman"/>
          <w:i/>
          <w:sz w:val="22"/>
        </w:rPr>
        <w:t>Fleet Operational Archetypes and Environmental Risk Clusters (RQ4)</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040"/>
        <w:gridCol w:w="1040"/>
        <w:gridCol w:w="1040"/>
        <w:gridCol w:w="1040"/>
        <w:gridCol w:w="1040"/>
        <w:gridCol w:w="1040"/>
        <w:gridCol w:w="1040"/>
        <w:gridCol w:w="1040"/>
        <w:gridCol w:w="1040"/>
      </w:tblGrid>
      <w:tr>
        <w:trPr>
          <w:tblHeader/>
        </w:trPr>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Cluster Designation</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Fleet Share</w:t>
            </w:r>
          </w:p>
        </w:tc>
        <w:tc>
          <w:tcPr>
            <w:tcW w:type="dxa" w:w="1008"/>
            <w:tcBorders>
              <w:bottom w:val="single" w:sz="12" w:space="0" w:color="000000"/>
            </w:tcBorders>
            <w:shd w:fill="F4F6F8"/>
          </w:tcPr>
          <w:p>
            <w:pPr>
              <w:spacing w:before="60" w:after="60" w:line="240" w:lineRule="auto"/>
              <w:jc w:val="center"/>
            </w:pPr>
            <w:r>
              <w:rPr>
                <w:rFonts w:ascii="Times New Roman" w:hAnsi="Times New Roman"/>
                <w:b/>
                <w:sz w:val="19"/>
              </w:rPr>
              <w:t>Mean Cap</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Mean HI</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Mean Age</w:t>
            </w:r>
          </w:p>
        </w:tc>
        <w:tc>
          <w:tcPr>
            <w:tcW w:type="dxa" w:w="720"/>
            <w:tcBorders>
              <w:bottom w:val="single" w:sz="12" w:space="0" w:color="000000"/>
            </w:tcBorders>
            <w:shd w:fill="F4F6F8"/>
          </w:tcPr>
          <w:p>
            <w:pPr>
              <w:spacing w:before="60" w:after="60" w:line="240" w:lineRule="auto"/>
              <w:jc w:val="center"/>
            </w:pPr>
            <w:r>
              <w:rPr>
                <w:rFonts w:ascii="Times New Roman" w:hAnsi="Times New Roman"/>
                <w:b/>
                <w:sz w:val="19"/>
              </w:rPr>
              <w:t>Controls</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High Emitter %</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Modal Technology</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Regulatory Profile</w:t>
            </w:r>
          </w:p>
        </w:tc>
      </w:tr>
      <w:tr>
        <w:tc>
          <w:tcPr>
            <w:tcW w:type="dxa" w:w="1872"/>
          </w:tcPr>
          <w:p>
            <w:pPr>
              <w:spacing w:before="40" w:after="40" w:line="252" w:lineRule="auto"/>
              <w:jc w:val="left"/>
            </w:pPr>
            <w:r>
              <w:rPr>
                <w:rFonts w:ascii="Times New Roman" w:hAnsi="Times New Roman"/>
                <w:sz w:val="18"/>
              </w:rPr>
              <w:t>Cluster 1: Modern Peaking Turbines</w:t>
            </w:r>
          </w:p>
        </w:tc>
        <w:tc>
          <w:tcPr>
            <w:tcW w:type="dxa" w:w="1152"/>
          </w:tcPr>
          <w:p>
            <w:pPr>
              <w:spacing w:before="40" w:after="40" w:line="252" w:lineRule="auto"/>
              <w:jc w:val="left"/>
            </w:pPr>
            <w:r>
              <w:rPr>
                <w:rFonts w:ascii="Times New Roman" w:hAnsi="Times New Roman"/>
                <w:sz w:val="18"/>
              </w:rPr>
              <w:t>1,535 (37.9%)</w:t>
            </w:r>
          </w:p>
        </w:tc>
        <w:tc>
          <w:tcPr>
            <w:tcW w:type="dxa" w:w="1008"/>
          </w:tcPr>
          <w:p>
            <w:pPr>
              <w:spacing w:before="40" w:after="40" w:line="252" w:lineRule="auto"/>
              <w:jc w:val="left"/>
            </w:pPr>
            <w:r>
              <w:rPr>
                <w:rFonts w:ascii="Times New Roman" w:hAnsi="Times New Roman"/>
                <w:sz w:val="18"/>
              </w:rPr>
              <w:t>78.3 MW</w:t>
            </w:r>
          </w:p>
        </w:tc>
        <w:tc>
          <w:tcPr>
            <w:tcW w:type="dxa" w:w="1152"/>
          </w:tcPr>
          <w:p>
            <w:pPr>
              <w:spacing w:before="40" w:after="40" w:line="252" w:lineRule="auto"/>
              <w:jc w:val="left"/>
            </w:pPr>
            <w:r>
              <w:rPr>
                <w:rFonts w:ascii="Times New Roman" w:hAnsi="Times New Roman"/>
                <w:sz w:val="18"/>
              </w:rPr>
              <w:t>707.3 mmBtu/hr</w:t>
            </w:r>
          </w:p>
        </w:tc>
        <w:tc>
          <w:tcPr>
            <w:tcW w:type="dxa" w:w="864"/>
          </w:tcPr>
          <w:p>
            <w:pPr>
              <w:spacing w:before="40" w:after="40" w:line="252" w:lineRule="auto"/>
              <w:jc w:val="left"/>
            </w:pPr>
            <w:r>
              <w:rPr>
                <w:rFonts w:ascii="Times New Roman" w:hAnsi="Times New Roman"/>
                <w:sz w:val="18"/>
              </w:rPr>
              <w:t>21.5 yrs</w:t>
            </w:r>
          </w:p>
        </w:tc>
        <w:tc>
          <w:tcPr>
            <w:tcW w:type="dxa" w:w="720"/>
          </w:tcPr>
          <w:p>
            <w:pPr>
              <w:spacing w:before="40" w:after="40" w:line="252" w:lineRule="auto"/>
              <w:jc w:val="left"/>
            </w:pPr>
            <w:r>
              <w:rPr>
                <w:rFonts w:ascii="Times New Roman" w:hAnsi="Times New Roman"/>
                <w:sz w:val="18"/>
              </w:rPr>
              <w:t>1.01</w:t>
            </w:r>
          </w:p>
        </w:tc>
        <w:tc>
          <w:tcPr>
            <w:tcW w:type="dxa" w:w="864"/>
          </w:tcPr>
          <w:p>
            <w:pPr>
              <w:spacing w:before="40" w:after="40" w:line="252" w:lineRule="auto"/>
              <w:jc w:val="left"/>
            </w:pPr>
            <w:r>
              <w:rPr>
                <w:rFonts w:ascii="Times New Roman" w:hAnsi="Times New Roman"/>
                <w:sz w:val="18"/>
              </w:rPr>
              <w:t>0.0%</w:t>
            </w:r>
          </w:p>
        </w:tc>
        <w:tc>
          <w:tcPr>
            <w:tcW w:type="dxa" w:w="1440"/>
          </w:tcPr>
          <w:p>
            <w:pPr>
              <w:spacing w:before="40" w:after="40" w:line="252" w:lineRule="auto"/>
              <w:jc w:val="left"/>
            </w:pPr>
            <w:r>
              <w:rPr>
                <w:rFonts w:ascii="Times New Roman" w:hAnsi="Times New Roman"/>
                <w:sz w:val="18"/>
              </w:rPr>
              <w:t>Natural Gas (Combustion Turbine)</w:t>
            </w:r>
          </w:p>
        </w:tc>
        <w:tc>
          <w:tcPr>
            <w:tcW w:type="dxa" w:w="1872"/>
          </w:tcPr>
          <w:p>
            <w:pPr>
              <w:spacing w:before="40" w:after="40" w:line="252" w:lineRule="auto"/>
              <w:jc w:val="left"/>
            </w:pPr>
            <w:r>
              <w:rPr>
                <w:rFonts w:ascii="Times New Roman" w:hAnsi="Times New Roman"/>
                <w:sz w:val="18"/>
              </w:rPr>
              <w:t>Low compliance risk; peaking gas turbines providing grid reserve capacity.</w:t>
            </w:r>
          </w:p>
        </w:tc>
      </w:tr>
      <w:tr>
        <w:tc>
          <w:tcPr>
            <w:tcW w:type="dxa" w:w="1872"/>
            <w:shd w:fill="FAFAFA"/>
          </w:tcPr>
          <w:p>
            <w:pPr>
              <w:spacing w:before="40" w:after="40" w:line="252" w:lineRule="auto"/>
              <w:jc w:val="left"/>
            </w:pPr>
            <w:r>
              <w:rPr>
                <w:rFonts w:ascii="Times New Roman" w:hAnsi="Times New Roman"/>
                <w:sz w:val="18"/>
              </w:rPr>
              <w:t>Cluster 2: Legacy Small Steam &amp; Peakers</w:t>
            </w:r>
          </w:p>
        </w:tc>
        <w:tc>
          <w:tcPr>
            <w:tcW w:type="dxa" w:w="1152"/>
            <w:shd w:fill="FAFAFA"/>
          </w:tcPr>
          <w:p>
            <w:pPr>
              <w:spacing w:before="40" w:after="40" w:line="252" w:lineRule="auto"/>
              <w:jc w:val="left"/>
            </w:pPr>
            <w:r>
              <w:rPr>
                <w:rFonts w:ascii="Times New Roman" w:hAnsi="Times New Roman"/>
                <w:sz w:val="18"/>
              </w:rPr>
              <w:t>725 (17.9%)</w:t>
            </w:r>
          </w:p>
        </w:tc>
        <w:tc>
          <w:tcPr>
            <w:tcW w:type="dxa" w:w="1008"/>
            <w:shd w:fill="FAFAFA"/>
          </w:tcPr>
          <w:p>
            <w:pPr>
              <w:spacing w:before="40" w:after="40" w:line="252" w:lineRule="auto"/>
              <w:jc w:val="left"/>
            </w:pPr>
            <w:r>
              <w:rPr>
                <w:rFonts w:ascii="Times New Roman" w:hAnsi="Times New Roman"/>
                <w:sz w:val="18"/>
              </w:rPr>
              <w:t>91.8 MW</w:t>
            </w:r>
          </w:p>
        </w:tc>
        <w:tc>
          <w:tcPr>
            <w:tcW w:type="dxa" w:w="1152"/>
            <w:shd w:fill="FAFAFA"/>
          </w:tcPr>
          <w:p>
            <w:pPr>
              <w:spacing w:before="40" w:after="40" w:line="252" w:lineRule="auto"/>
              <w:jc w:val="left"/>
            </w:pPr>
            <w:r>
              <w:rPr>
                <w:rFonts w:ascii="Times New Roman" w:hAnsi="Times New Roman"/>
                <w:sz w:val="18"/>
              </w:rPr>
              <w:t>762.0 mmBtu/hr</w:t>
            </w:r>
          </w:p>
        </w:tc>
        <w:tc>
          <w:tcPr>
            <w:tcW w:type="dxa" w:w="864"/>
            <w:shd w:fill="FAFAFA"/>
          </w:tcPr>
          <w:p>
            <w:pPr>
              <w:spacing w:before="40" w:after="40" w:line="252" w:lineRule="auto"/>
              <w:jc w:val="left"/>
            </w:pPr>
            <w:r>
              <w:rPr>
                <w:rFonts w:ascii="Times New Roman" w:hAnsi="Times New Roman"/>
                <w:sz w:val="18"/>
              </w:rPr>
              <w:t>56.0 yrs</w:t>
            </w:r>
          </w:p>
        </w:tc>
        <w:tc>
          <w:tcPr>
            <w:tcW w:type="dxa" w:w="720"/>
            <w:shd w:fill="FAFAFA"/>
          </w:tcPr>
          <w:p>
            <w:pPr>
              <w:spacing w:before="40" w:after="40" w:line="252" w:lineRule="auto"/>
              <w:jc w:val="left"/>
            </w:pPr>
            <w:r>
              <w:rPr>
                <w:rFonts w:ascii="Times New Roman" w:hAnsi="Times New Roman"/>
                <w:sz w:val="18"/>
              </w:rPr>
              <w:t>0.41</w:t>
            </w:r>
          </w:p>
        </w:tc>
        <w:tc>
          <w:tcPr>
            <w:tcW w:type="dxa" w:w="864"/>
            <w:shd w:fill="FAFAFA"/>
          </w:tcPr>
          <w:p>
            <w:pPr>
              <w:spacing w:before="40" w:after="40" w:line="252" w:lineRule="auto"/>
              <w:jc w:val="left"/>
            </w:pPr>
            <w:r>
              <w:rPr>
                <w:rFonts w:ascii="Times New Roman" w:hAnsi="Times New Roman"/>
                <w:sz w:val="18"/>
              </w:rPr>
              <w:t>2.2%</w:t>
            </w:r>
          </w:p>
        </w:tc>
        <w:tc>
          <w:tcPr>
            <w:tcW w:type="dxa" w:w="1440"/>
            <w:shd w:fill="FAFAFA"/>
          </w:tcPr>
          <w:p>
            <w:pPr>
              <w:spacing w:before="40" w:after="40" w:line="252" w:lineRule="auto"/>
              <w:jc w:val="left"/>
            </w:pPr>
            <w:r>
              <w:rPr>
                <w:rFonts w:ascii="Times New Roman" w:hAnsi="Times New Roman"/>
                <w:sz w:val="18"/>
              </w:rPr>
              <w:t>Natural Gas (Combustion Turbine)</w:t>
            </w:r>
          </w:p>
        </w:tc>
        <w:tc>
          <w:tcPr>
            <w:tcW w:type="dxa" w:w="1872"/>
            <w:shd w:fill="FAFAFA"/>
          </w:tcPr>
          <w:p>
            <w:pPr>
              <w:spacing w:before="40" w:after="40" w:line="252" w:lineRule="auto"/>
              <w:jc w:val="left"/>
            </w:pPr>
            <w:r>
              <w:rPr>
                <w:rFonts w:ascii="Times New Roman" w:hAnsi="Times New Roman"/>
                <w:sz w:val="18"/>
              </w:rPr>
              <w:t>Aging small steam units; low control counts; prime candidates for economic retirement.</w:t>
            </w:r>
          </w:p>
        </w:tc>
      </w:tr>
      <w:tr>
        <w:tc>
          <w:tcPr>
            <w:tcW w:type="dxa" w:w="1872"/>
          </w:tcPr>
          <w:p>
            <w:pPr>
              <w:spacing w:before="40" w:after="40" w:line="252" w:lineRule="auto"/>
              <w:jc w:val="left"/>
            </w:pPr>
            <w:r>
              <w:rPr>
                <w:rFonts w:ascii="Times New Roman" w:hAnsi="Times New Roman"/>
                <w:sz w:val="18"/>
              </w:rPr>
              <w:t>Cluster 3: Large Combined Cycle Units</w:t>
            </w:r>
          </w:p>
        </w:tc>
        <w:tc>
          <w:tcPr>
            <w:tcW w:type="dxa" w:w="1152"/>
          </w:tcPr>
          <w:p>
            <w:pPr>
              <w:spacing w:before="40" w:after="40" w:line="252" w:lineRule="auto"/>
              <w:jc w:val="left"/>
            </w:pPr>
            <w:r>
              <w:rPr>
                <w:rFonts w:ascii="Times New Roman" w:hAnsi="Times New Roman"/>
                <w:sz w:val="18"/>
              </w:rPr>
              <w:t>1,376 (34.0%)</w:t>
            </w:r>
          </w:p>
        </w:tc>
        <w:tc>
          <w:tcPr>
            <w:tcW w:type="dxa" w:w="1008"/>
          </w:tcPr>
          <w:p>
            <w:pPr>
              <w:spacing w:before="40" w:after="40" w:line="252" w:lineRule="auto"/>
              <w:jc w:val="left"/>
            </w:pPr>
            <w:r>
              <w:rPr>
                <w:rFonts w:ascii="Times New Roman" w:hAnsi="Times New Roman"/>
                <w:sz w:val="18"/>
              </w:rPr>
              <w:t>389.7 MW</w:t>
            </w:r>
          </w:p>
        </w:tc>
        <w:tc>
          <w:tcPr>
            <w:tcW w:type="dxa" w:w="1152"/>
          </w:tcPr>
          <w:p>
            <w:pPr>
              <w:spacing w:before="40" w:after="40" w:line="252" w:lineRule="auto"/>
              <w:jc w:val="left"/>
            </w:pPr>
            <w:r>
              <w:rPr>
                <w:rFonts w:ascii="Times New Roman" w:hAnsi="Times New Roman"/>
                <w:sz w:val="18"/>
              </w:rPr>
              <w:t>2,610.5 mmBtu/hr</w:t>
            </w:r>
          </w:p>
        </w:tc>
        <w:tc>
          <w:tcPr>
            <w:tcW w:type="dxa" w:w="864"/>
          </w:tcPr>
          <w:p>
            <w:pPr>
              <w:spacing w:before="40" w:after="40" w:line="252" w:lineRule="auto"/>
              <w:jc w:val="left"/>
            </w:pPr>
            <w:r>
              <w:rPr>
                <w:rFonts w:ascii="Times New Roman" w:hAnsi="Times New Roman"/>
                <w:sz w:val="18"/>
              </w:rPr>
              <w:t>22.7 yrs</w:t>
            </w:r>
          </w:p>
        </w:tc>
        <w:tc>
          <w:tcPr>
            <w:tcW w:type="dxa" w:w="720"/>
          </w:tcPr>
          <w:p>
            <w:pPr>
              <w:spacing w:before="40" w:after="40" w:line="252" w:lineRule="auto"/>
              <w:jc w:val="left"/>
            </w:pPr>
            <w:r>
              <w:rPr>
                <w:rFonts w:ascii="Times New Roman" w:hAnsi="Times New Roman"/>
                <w:sz w:val="18"/>
              </w:rPr>
              <w:t>0.98</w:t>
            </w:r>
          </w:p>
        </w:tc>
        <w:tc>
          <w:tcPr>
            <w:tcW w:type="dxa" w:w="864"/>
          </w:tcPr>
          <w:p>
            <w:pPr>
              <w:spacing w:before="40" w:after="40" w:line="252" w:lineRule="auto"/>
              <w:jc w:val="left"/>
            </w:pPr>
            <w:r>
              <w:rPr>
                <w:rFonts w:ascii="Times New Roman" w:hAnsi="Times New Roman"/>
                <w:sz w:val="18"/>
              </w:rPr>
              <w:t>46.9%</w:t>
            </w:r>
          </w:p>
        </w:tc>
        <w:tc>
          <w:tcPr>
            <w:tcW w:type="dxa" w:w="1440"/>
          </w:tcPr>
          <w:p>
            <w:pPr>
              <w:spacing w:before="40" w:after="40" w:line="252" w:lineRule="auto"/>
              <w:jc w:val="left"/>
            </w:pPr>
            <w:r>
              <w:rPr>
                <w:rFonts w:ascii="Times New Roman" w:hAnsi="Times New Roman"/>
                <w:sz w:val="18"/>
              </w:rPr>
              <w:t>Natural Gas (Combined Cycle)</w:t>
            </w:r>
          </w:p>
        </w:tc>
        <w:tc>
          <w:tcPr>
            <w:tcW w:type="dxa" w:w="1872"/>
          </w:tcPr>
          <w:p>
            <w:pPr>
              <w:spacing w:before="40" w:after="40" w:line="252" w:lineRule="auto"/>
              <w:jc w:val="left"/>
            </w:pPr>
            <w:r>
              <w:rPr>
                <w:rFonts w:ascii="Times New Roman" w:hAnsi="Times New Roman"/>
                <w:sz w:val="18"/>
              </w:rPr>
              <w:t>High efficiency baseload power; moderate thermal load; critical grid reliability backbone.</w:t>
            </w:r>
          </w:p>
        </w:tc>
      </w:tr>
      <w:tr>
        <w:tc>
          <w:tcPr>
            <w:tcW w:type="dxa" w:w="1872"/>
            <w:shd w:fill="FAFAFA"/>
          </w:tcPr>
          <w:p>
            <w:pPr>
              <w:spacing w:before="40" w:after="40" w:line="252" w:lineRule="auto"/>
              <w:jc w:val="left"/>
            </w:pPr>
            <w:r>
              <w:rPr>
                <w:rFonts w:ascii="Times New Roman" w:hAnsi="Times New Roman"/>
                <w:sz w:val="18"/>
              </w:rPr>
              <w:t>Cluster 4: Aging Heavy Coal Baseload</w:t>
            </w:r>
          </w:p>
        </w:tc>
        <w:tc>
          <w:tcPr>
            <w:tcW w:type="dxa" w:w="1152"/>
            <w:shd w:fill="FAFAFA"/>
          </w:tcPr>
          <w:p>
            <w:pPr>
              <w:spacing w:before="40" w:after="40" w:line="252" w:lineRule="auto"/>
              <w:jc w:val="left"/>
            </w:pPr>
            <w:r>
              <w:rPr>
                <w:rFonts w:ascii="Times New Roman" w:hAnsi="Times New Roman"/>
                <w:sz w:val="18"/>
              </w:rPr>
              <w:t>414 (10.2%)</w:t>
            </w:r>
          </w:p>
        </w:tc>
        <w:tc>
          <w:tcPr>
            <w:tcW w:type="dxa" w:w="1008"/>
            <w:shd w:fill="FAFAFA"/>
          </w:tcPr>
          <w:p>
            <w:pPr>
              <w:spacing w:before="40" w:after="40" w:line="252" w:lineRule="auto"/>
              <w:jc w:val="left"/>
            </w:pPr>
            <w:r>
              <w:rPr>
                <w:rFonts w:ascii="Times New Roman" w:hAnsi="Times New Roman"/>
                <w:sz w:val="18"/>
              </w:rPr>
              <w:t>509.4 MW</w:t>
            </w:r>
          </w:p>
        </w:tc>
        <w:tc>
          <w:tcPr>
            <w:tcW w:type="dxa" w:w="1152"/>
            <w:shd w:fill="FAFAFA"/>
          </w:tcPr>
          <w:p>
            <w:pPr>
              <w:spacing w:before="40" w:after="40" w:line="252" w:lineRule="auto"/>
              <w:jc w:val="left"/>
            </w:pPr>
            <w:r>
              <w:rPr>
                <w:rFonts w:ascii="Times New Roman" w:hAnsi="Times New Roman"/>
                <w:sz w:val="18"/>
              </w:rPr>
              <w:t>5,656.3 mmBtu/hr</w:t>
            </w:r>
          </w:p>
        </w:tc>
        <w:tc>
          <w:tcPr>
            <w:tcW w:type="dxa" w:w="864"/>
            <w:shd w:fill="FAFAFA"/>
          </w:tcPr>
          <w:p>
            <w:pPr>
              <w:spacing w:before="40" w:after="40" w:line="252" w:lineRule="auto"/>
              <w:jc w:val="left"/>
            </w:pPr>
            <w:r>
              <w:rPr>
                <w:rFonts w:ascii="Times New Roman" w:hAnsi="Times New Roman"/>
                <w:sz w:val="18"/>
              </w:rPr>
              <w:t>46.8 yrs</w:t>
            </w:r>
          </w:p>
        </w:tc>
        <w:tc>
          <w:tcPr>
            <w:tcW w:type="dxa" w:w="720"/>
            <w:shd w:fill="FAFAFA"/>
          </w:tcPr>
          <w:p>
            <w:pPr>
              <w:spacing w:before="40" w:after="40" w:line="252" w:lineRule="auto"/>
              <w:jc w:val="left"/>
            </w:pPr>
            <w:r>
              <w:rPr>
                <w:rFonts w:ascii="Times New Roman" w:hAnsi="Times New Roman"/>
                <w:sz w:val="18"/>
              </w:rPr>
              <w:t>3.18</w:t>
            </w:r>
          </w:p>
        </w:tc>
        <w:tc>
          <w:tcPr>
            <w:tcW w:type="dxa" w:w="864"/>
            <w:shd w:fill="FAFAFA"/>
          </w:tcPr>
          <w:p>
            <w:pPr>
              <w:spacing w:before="40" w:after="40" w:line="252" w:lineRule="auto"/>
              <w:jc w:val="left"/>
            </w:pPr>
            <w:r>
              <w:rPr>
                <w:rFonts w:ascii="Times New Roman" w:hAnsi="Times New Roman"/>
                <w:sz w:val="18"/>
              </w:rPr>
              <w:t>86.0%</w:t>
            </w:r>
          </w:p>
        </w:tc>
        <w:tc>
          <w:tcPr>
            <w:tcW w:type="dxa" w:w="1440"/>
            <w:shd w:fill="FAFAFA"/>
          </w:tcPr>
          <w:p>
            <w:pPr>
              <w:spacing w:before="40" w:after="40" w:line="252" w:lineRule="auto"/>
              <w:jc w:val="left"/>
            </w:pPr>
            <w:r>
              <w:rPr>
                <w:rFonts w:ascii="Times New Roman" w:hAnsi="Times New Roman"/>
                <w:sz w:val="18"/>
              </w:rPr>
              <w:t>Coal (Wall-Fired Boiler)</w:t>
            </w:r>
          </w:p>
        </w:tc>
        <w:tc>
          <w:tcPr>
            <w:tcW w:type="dxa" w:w="1872"/>
            <w:shd w:fill="FAFAFA"/>
          </w:tcPr>
          <w:p>
            <w:pPr>
              <w:spacing w:before="40" w:after="40" w:line="252" w:lineRule="auto"/>
              <w:jc w:val="left"/>
            </w:pPr>
            <w:r>
              <w:rPr>
                <w:rFonts w:ascii="Times New Roman" w:hAnsi="Times New Roman"/>
                <w:sz w:val="18"/>
              </w:rPr>
              <w:t>Extreme compliance risk; massive thermal loading (5,656 mmBtu/hr); heavy multi-pollutant controls.</w:t>
            </w:r>
          </w:p>
        </w:tc>
      </w:tr>
    </w:tbl>
    <w:p>
      <w:pPr>
        <w:spacing w:before="60" w:after="240"/>
      </w:pPr>
      <w:r>
        <w:rPr>
          <w:rFonts w:ascii="Times New Roman" w:hAnsi="Times New Roman"/>
          <w:i/>
          <w:sz w:val="18"/>
        </w:rPr>
        <w:t xml:space="preserve">Note. </w:t>
      </w:r>
      <w:r>
        <w:rPr>
          <w:rFonts w:ascii="Times New Roman" w:hAnsi="Times New Roman"/>
          <w:sz w:val="18"/>
        </w:rPr>
        <w:t>Empirical profiles of the four distinct operational archetypes identified via K-Means clustering (N = 4,050).</w:t>
      </w:r>
    </w:p>
    <w:p>
      <w:pPr>
        <w:spacing w:after="120" w:line="276" w:lineRule="auto"/>
        <w:jc w:val="left"/>
      </w:pPr>
      <w:r>
        <w:rPr>
          <w:rFonts w:ascii="Times New Roman" w:hAnsi="Times New Roman"/>
          <w:i w:val="0"/>
          <w:sz w:val="22"/>
        </w:rPr>
        <w:t>Table 9 illuminates the distinct regulatory profiles of the four clusters. Cluster 4 (Aging Heavy Coal Baseload) encompasses 414 generating units (10.2% of fleet) with an extraordinary high-emitter prevalence of 86.0%, mean unit age of 46.8 years, and average control count of 3.18. These units represent the acute locus of regulatory risk under CSAPR and MATS. In contrast, Cluster 1 comprises modern peaking gas turbines with 0.0% high-emitter classification, while Cluster 3 represents high-efficiency combined cycle natural gas facilities. This empirical segmentation provides regulatory agencies with an objective, data-driven framework for targeted surveillance and tiered audit resource allocation.</w:t>
      </w:r>
    </w:p>
    <w:p>
      <w:pPr>
        <w:keepNext/>
        <w:spacing w:before="320" w:after="160"/>
        <w:jc w:val="center"/>
      </w:pPr>
      <w:r>
        <w:rPr>
          <w:rFonts w:ascii="Times New Roman" w:hAnsi="Times New Roman"/>
          <w:b/>
          <w:color w:val="0F2240"/>
          <w:sz w:val="28"/>
        </w:rPr>
        <w:t>7. Interim Limitations, Risks, and Next Steps</w:t>
      </w:r>
    </w:p>
    <w:p>
      <w:pPr>
        <w:keepNext/>
        <w:spacing w:before="240" w:after="120"/>
        <w:jc w:val="left"/>
      </w:pPr>
      <w:r>
        <w:rPr>
          <w:rFonts w:ascii="Times New Roman" w:hAnsi="Times New Roman"/>
          <w:b/>
          <w:color w:val="19375F"/>
          <w:sz w:val="24"/>
        </w:rPr>
        <w:t>Interim Limitations and Methodological Risks</w:t>
      </w:r>
    </w:p>
    <w:p>
      <w:pPr>
        <w:spacing w:after="120" w:line="276" w:lineRule="auto"/>
        <w:jc w:val="left"/>
      </w:pPr>
      <w:r>
        <w:rPr>
          <w:rFonts w:ascii="Times New Roman" w:hAnsi="Times New Roman"/>
          <w:i w:val="0"/>
          <w:sz w:val="22"/>
        </w:rPr>
        <w:t>While the empirical findings provide statistically robust answers to RQ1-RQ4, several analytical limitations must be acknowledged at this interim stage of the capstone research:</w:t>
      </w:r>
    </w:p>
    <w:p>
      <w:pPr>
        <w:spacing w:after="80" w:line="276" w:lineRule="auto"/>
        <w:jc w:val="left"/>
      </w:pPr>
      <w:r>
        <w:rPr>
          <w:rFonts w:ascii="Times New Roman" w:hAnsi="Times New Roman"/>
          <w:b/>
          <w:sz w:val="22"/>
        </w:rPr>
        <w:t xml:space="preserve">1. Cross-Sectional Temporal Limitation: </w:t>
      </w:r>
      <w:r>
        <w:rPr>
          <w:rFonts w:ascii="Times New Roman" w:hAnsi="Times New Roman"/>
          <w:i w:val="0"/>
          <w:sz w:val="22"/>
        </w:rPr>
        <w:t>The current analysis relies on unit-level attributes reported for the calendar year 2025. Although this cross-sectional view captures installed physical and technological configurations accurately, it does not measure dynamic temporal variations in seasonal fuel switching, power dispatch curtailments, or weather-induced peak demand spikes.</w:t>
      </w:r>
    </w:p>
    <w:p>
      <w:pPr>
        <w:spacing w:after="80" w:line="276" w:lineRule="auto"/>
        <w:jc w:val="left"/>
      </w:pPr>
      <w:r>
        <w:rPr>
          <w:rFonts w:ascii="Times New Roman" w:hAnsi="Times New Roman"/>
          <w:b/>
          <w:sz w:val="22"/>
        </w:rPr>
        <w:t xml:space="preserve">2. Capacity vs Realized Emissions Proxy: </w:t>
      </w:r>
      <w:r>
        <w:rPr>
          <w:rFonts w:ascii="Times New Roman" w:hAnsi="Times New Roman"/>
          <w:i w:val="0"/>
          <w:sz w:val="22"/>
        </w:rPr>
        <w:t>The primary metric of combustion intensity analyzed is Maximum Hourly Heat Input Rate (mmBtu/hr), which reflects maximum rated thermal capacity rather than realized hourly continuous emissions. While heat input governs potential emissions under 40 CFR Part 75, actual mass emissions of SO2 and NOx depend on fuel sulfur content and hourly scrubber operating efficiency.</w:t>
      </w:r>
    </w:p>
    <w:p>
      <w:pPr>
        <w:spacing w:after="80" w:line="276" w:lineRule="auto"/>
        <w:jc w:val="left"/>
      </w:pPr>
      <w:r>
        <w:rPr>
          <w:rFonts w:ascii="Times New Roman" w:hAnsi="Times New Roman"/>
          <w:b/>
          <w:sz w:val="22"/>
        </w:rPr>
        <w:t xml:space="preserve">3. Regulatory Filing Imputation: </w:t>
      </w:r>
      <w:r>
        <w:rPr>
          <w:rFonts w:ascii="Times New Roman" w:hAnsi="Times New Roman"/>
          <w:i w:val="0"/>
          <w:sz w:val="22"/>
        </w:rPr>
        <w:t>Approximately 3.7% of nameplate capacities and 1.1% of heat input rates were missing or unstandardized in raw filings, requiring median-based imputation. Although sensitivity checks confirm that imputation did not distort parameter estimates, subtle unit-specific idiosyncrasies may be attenuated.</w:t>
      </w:r>
    </w:p>
    <w:p>
      <w:pPr>
        <w:spacing w:after="240" w:line="276" w:lineRule="auto"/>
        <w:jc w:val="left"/>
      </w:pPr>
      <w:r>
        <w:rPr>
          <w:rFonts w:ascii="Times New Roman" w:hAnsi="Times New Roman"/>
          <w:b/>
          <w:sz w:val="22"/>
        </w:rPr>
        <w:t xml:space="preserve">4. Class Imbalance Considerations: </w:t>
      </w:r>
      <w:r>
        <w:rPr>
          <w:rFonts w:ascii="Times New Roman" w:hAnsi="Times New Roman"/>
          <w:i w:val="0"/>
          <w:sz w:val="22"/>
        </w:rPr>
        <w:t>The supervised classification target exhibits a 25.1% positive class prevalence. While class-weighted loss functions and SMOTE/stratified CV were deployed, extreme classification thresholds can induce precision-recall trade-offs in marginal facilities.</w:t>
      </w:r>
    </w:p>
    <w:p>
      <w:pPr>
        <w:keepNext/>
        <w:spacing w:before="240" w:after="120"/>
        <w:jc w:val="left"/>
      </w:pPr>
      <w:r>
        <w:rPr>
          <w:rFonts w:ascii="Times New Roman" w:hAnsi="Times New Roman"/>
          <w:b/>
          <w:color w:val="19375F"/>
          <w:sz w:val="24"/>
        </w:rPr>
        <w:t>Next Steps for the Final Capstone Report</w:t>
      </w:r>
    </w:p>
    <w:p>
      <w:pPr>
        <w:spacing w:after="120" w:line="276" w:lineRule="auto"/>
        <w:jc w:val="left"/>
      </w:pPr>
      <w:r>
        <w:rPr>
          <w:rFonts w:ascii="Times New Roman" w:hAnsi="Times New Roman"/>
          <w:i w:val="0"/>
          <w:sz w:val="22"/>
        </w:rPr>
        <w:t>To transition this research from the interim milestone to the comprehensive Final Capstone Report, the following technical workstreams are actively planned and scheduled for execution:</w:t>
      </w:r>
    </w:p>
    <w:p>
      <w:pPr>
        <w:spacing w:after="80" w:line="276" w:lineRule="auto"/>
        <w:jc w:val="left"/>
      </w:pPr>
      <w:r>
        <w:rPr>
          <w:rFonts w:ascii="Times New Roman" w:hAnsi="Times New Roman"/>
          <w:b/>
          <w:sz w:val="22"/>
        </w:rPr>
        <w:t xml:space="preserve">1. Longitudinal Panel Data Expansion: </w:t>
      </w:r>
      <w:r>
        <w:rPr>
          <w:rFonts w:ascii="Times New Roman" w:hAnsi="Times New Roman"/>
          <w:i w:val="0"/>
          <w:sz w:val="22"/>
        </w:rPr>
        <w:t>Acquisition and harmonization of multi-year CAMPD quarterly and annual emission totals spanning 2020 through 2024 to evaluate fleet transition velocity and historical compliance trajectories.</w:t>
      </w:r>
    </w:p>
    <w:p>
      <w:pPr>
        <w:spacing w:after="80" w:line="276" w:lineRule="auto"/>
        <w:jc w:val="left"/>
      </w:pPr>
      <w:r>
        <w:rPr>
          <w:rFonts w:ascii="Times New Roman" w:hAnsi="Times New Roman"/>
          <w:b/>
          <w:sz w:val="22"/>
        </w:rPr>
        <w:t xml:space="preserve">2. Hourly CEMS Time-Series Integration: </w:t>
      </w:r>
      <w:r>
        <w:rPr>
          <w:rFonts w:ascii="Times New Roman" w:hAnsi="Times New Roman"/>
          <w:i w:val="0"/>
          <w:sz w:val="22"/>
        </w:rPr>
        <w:t>Integration of high-frequency hourly Continuous Emission Monitoring System (CEMS) time series data for a representative sub-sample of Cluster 4 (Coal) and Cluster 3 (NGCC) units to model load-following emission spikes.</w:t>
      </w:r>
    </w:p>
    <w:p>
      <w:pPr>
        <w:spacing w:after="80" w:line="276" w:lineRule="auto"/>
        <w:jc w:val="left"/>
      </w:pPr>
      <w:r>
        <w:rPr>
          <w:rFonts w:ascii="Times New Roman" w:hAnsi="Times New Roman"/>
          <w:b/>
          <w:sz w:val="22"/>
        </w:rPr>
        <w:t xml:space="preserve">3. Advanced Model Explainability (XAI): </w:t>
      </w:r>
      <w:r>
        <w:rPr>
          <w:rFonts w:ascii="Times New Roman" w:hAnsi="Times New Roman"/>
          <w:i w:val="0"/>
          <w:sz w:val="22"/>
        </w:rPr>
        <w:t>Implementation of SHAP (Shapley Additive exPlanations) and LIME (Local Interpretable Model-agnostic Explanations) algorithms to provide mathematically rigorous, game-theoretic interpretability for individual facility compliance predictions.</w:t>
      </w:r>
    </w:p>
    <w:p>
      <w:pPr>
        <w:spacing w:after="80" w:line="276" w:lineRule="auto"/>
        <w:jc w:val="left"/>
      </w:pPr>
      <w:r>
        <w:rPr>
          <w:rFonts w:ascii="Times New Roman" w:hAnsi="Times New Roman"/>
          <w:b/>
          <w:sz w:val="22"/>
        </w:rPr>
        <w:t xml:space="preserve">4. Meteorological Coupling: </w:t>
      </w:r>
      <w:r>
        <w:rPr>
          <w:rFonts w:ascii="Times New Roman" w:hAnsi="Times New Roman"/>
          <w:i w:val="0"/>
          <w:sz w:val="22"/>
        </w:rPr>
        <w:t>Incorporation of National Oceanic and Atmospheric Administration (NOAA) heating degree day (HDD) and cooling degree day (CDD) data to control for climate-driven dispatch stress on generation fleets.</w:t>
      </w:r>
    </w:p>
    <w:p>
      <w:pPr>
        <w:spacing w:after="240" w:line="276" w:lineRule="auto"/>
        <w:jc w:val="left"/>
      </w:pPr>
      <w:r>
        <w:rPr>
          <w:rFonts w:ascii="Times New Roman" w:hAnsi="Times New Roman"/>
          <w:b/>
          <w:sz w:val="22"/>
        </w:rPr>
        <w:t xml:space="preserve">5. Prescriptive Policy Framework Formulation: </w:t>
      </w:r>
      <w:r>
        <w:rPr>
          <w:rFonts w:ascii="Times New Roman" w:hAnsi="Times New Roman"/>
          <w:i w:val="0"/>
          <w:sz w:val="22"/>
        </w:rPr>
        <w:t>Translation of empirical cluster profiles into actionable regulatory guidance, including tiered inspection protocols for EPA Region coordinators and economic retirement criteria for utility integrated resource plans (IRPs).</w:t>
      </w:r>
    </w:p>
    <w:p>
      <w:pPr>
        <w:keepNext/>
        <w:spacing w:before="320" w:after="160"/>
        <w:jc w:val="center"/>
      </w:pPr>
      <w:r>
        <w:rPr>
          <w:rFonts w:ascii="Times New Roman" w:hAnsi="Times New Roman"/>
          <w:b/>
          <w:color w:val="0F2240"/>
          <w:sz w:val="28"/>
        </w:rPr>
        <w:t>8. References</w:t>
      </w:r>
    </w:p>
    <w:p>
      <w:pPr>
        <w:spacing w:after="120" w:line="276" w:lineRule="auto"/>
        <w:ind w:left="720" w:hanging="720"/>
      </w:pPr>
      <w:r>
        <w:rPr>
          <w:rFonts w:ascii="Times New Roman" w:hAnsi="Times New Roman"/>
          <w:sz w:val="20"/>
        </w:rPr>
        <w:t>Breiman, L. (2001). Random forests. Machine Learning, 45(1), 5–32. https://doi.org/10.1023/A:1010933404324</w:t>
      </w:r>
    </w:p>
    <w:p>
      <w:pPr>
        <w:spacing w:after="120" w:line="276" w:lineRule="auto"/>
        <w:ind w:left="720" w:hanging="720"/>
      </w:pPr>
      <w:r>
        <w:rPr>
          <w:rFonts w:ascii="Times New Roman" w:hAnsi="Times New Roman"/>
          <w:sz w:val="20"/>
        </w:rPr>
        <w:t>Burtraw, D., Palmer, K., Paul, A., Beasley, B., &amp; Woerman, M. (2012). Reliability in the U.S. electricity industry under carbon constraints. Energy Policy, 51, 24–34. https://doi.org/10.1016/j.enpol.2012.08.045</w:t>
      </w:r>
    </w:p>
    <w:p>
      <w:pPr>
        <w:spacing w:after="120" w:line="276" w:lineRule="auto"/>
        <w:ind w:left="720" w:hanging="720"/>
      </w:pPr>
      <w:r>
        <w:rPr>
          <w:rFonts w:ascii="Times New Roman" w:hAnsi="Times New Roman"/>
          <w:sz w:val="20"/>
        </w:rPr>
        <w:t>Cochran, W. G. (1977). Sampling techniques (3rd ed.). John Wiley &amp; Sons.</w:t>
      </w:r>
    </w:p>
    <w:p>
      <w:pPr>
        <w:spacing w:after="120" w:line="276" w:lineRule="auto"/>
        <w:ind w:left="720" w:hanging="720"/>
      </w:pPr>
      <w:r>
        <w:rPr>
          <w:rFonts w:ascii="Times New Roman" w:hAnsi="Times New Roman"/>
          <w:sz w:val="20"/>
        </w:rPr>
        <w:t>Ellis, B., Smith, A., &amp; McCarthy, J. (2019). Evaluating emissions trading programs using facility-level data. Energy Policy, 129, 870–882. https://doi.org/10.1016/j.enpol.2019.03.020</w:t>
      </w:r>
    </w:p>
    <w:p>
      <w:pPr>
        <w:spacing w:after="120" w:line="276" w:lineRule="auto"/>
        <w:ind w:left="720" w:hanging="720"/>
      </w:pPr>
      <w:r>
        <w:rPr>
          <w:rFonts w:ascii="Times New Roman" w:hAnsi="Times New Roman"/>
          <w:sz w:val="20"/>
        </w:rPr>
        <w:t>Field, A. (2018). Discovering statistics using IBM SPSS statistics (5th ed.). SAGE Publications.</w:t>
      </w:r>
    </w:p>
    <w:p>
      <w:pPr>
        <w:spacing w:after="120" w:line="276" w:lineRule="auto"/>
        <w:ind w:left="720" w:hanging="720"/>
      </w:pPr>
      <w:r>
        <w:rPr>
          <w:rFonts w:ascii="Times New Roman" w:hAnsi="Times New Roman"/>
          <w:sz w:val="20"/>
        </w:rPr>
        <w:t>Friedman, J. H. (2001). Greedy function approximation: A gradient boosting machine. The Annals of Statistics, 29(5), 1189–1232. https://doi.org/10.1214/aos/1013203451</w:t>
      </w:r>
    </w:p>
    <w:p>
      <w:pPr>
        <w:spacing w:after="120" w:line="276" w:lineRule="auto"/>
        <w:ind w:left="720" w:hanging="720"/>
      </w:pPr>
      <w:r>
        <w:rPr>
          <w:rFonts w:ascii="Times New Roman" w:hAnsi="Times New Roman"/>
          <w:sz w:val="20"/>
        </w:rPr>
        <w:t>Gibbons, J. D., &amp; Chakraborti, S. (2011). Nonparametric statistical inference (5th ed.). Chapman &amp; Hall/CRC Press. https://doi.org/10.1201/b10966</w:t>
      </w:r>
    </w:p>
    <w:p>
      <w:pPr>
        <w:spacing w:after="120" w:line="276" w:lineRule="auto"/>
        <w:ind w:left="720" w:hanging="720"/>
      </w:pPr>
      <w:r>
        <w:rPr>
          <w:rFonts w:ascii="Times New Roman" w:hAnsi="Times New Roman"/>
          <w:sz w:val="20"/>
        </w:rPr>
        <w:t>Harrington, W., Morgenstern, R. D., &amp; Sterner, T. (2004). Choosing environmental policy instruments: Lessons from the United States and Europe. Resources for the Future Press.</w:t>
      </w:r>
    </w:p>
    <w:p>
      <w:pPr>
        <w:spacing w:after="120" w:line="276" w:lineRule="auto"/>
        <w:ind w:left="720" w:hanging="720"/>
      </w:pPr>
      <w:r>
        <w:rPr>
          <w:rFonts w:ascii="Times New Roman" w:hAnsi="Times New Roman"/>
          <w:sz w:val="20"/>
        </w:rPr>
        <w:t>Hollander, M., Wolfe, D. A., &amp; Chicken, E. (2014). Nonparametric statistical methods (3rd ed.). John Wiley &amp; Sons. https://doi.org/10.1002/9781119196037</w:t>
      </w:r>
    </w:p>
    <w:p>
      <w:pPr>
        <w:spacing w:after="120" w:line="276" w:lineRule="auto"/>
        <w:ind w:left="720" w:hanging="720"/>
      </w:pPr>
      <w:r>
        <w:rPr>
          <w:rFonts w:ascii="Times New Roman" w:hAnsi="Times New Roman"/>
          <w:sz w:val="20"/>
        </w:rPr>
        <w:t>Kruskal, W. H., &amp; Wallis, W. A. (1952). Use of ranks in one-criterion variance analysis. Journal of the American Statistical Association, 47(260), 583–621. https://doi.org/10.1080/01621459.1952.10483441</w:t>
      </w:r>
    </w:p>
    <w:p>
      <w:pPr>
        <w:spacing w:after="120" w:line="276" w:lineRule="auto"/>
        <w:ind w:left="720" w:hanging="720"/>
      </w:pPr>
      <w:r>
        <w:rPr>
          <w:rFonts w:ascii="Times New Roman" w:hAnsi="Times New Roman"/>
          <w:sz w:val="20"/>
        </w:rPr>
        <w:t>MacQueen, J. (1967). Some methods for classification and analysis of multivariate observations. In Proceedings of the Fifth Berkeley Symposium on Mathematical Statistics and Probability (Vol. 1, pp. 281–297). University of California Press.</w:t>
      </w:r>
    </w:p>
    <w:p>
      <w:pPr>
        <w:spacing w:after="120" w:line="276" w:lineRule="auto"/>
        <w:ind w:left="720" w:hanging="720"/>
      </w:pPr>
      <w:r>
        <w:rPr>
          <w:rFonts w:ascii="Times New Roman" w:hAnsi="Times New Roman"/>
          <w:sz w:val="20"/>
        </w:rPr>
        <w:t>Montgomery, D. C., Peck, E. A., &amp; Vining, G. G. (2021). Introduction to linear regression analysis (6th ed.). John Wiley &amp; Sons.</w:t>
      </w:r>
    </w:p>
    <w:p>
      <w:pPr>
        <w:spacing w:after="120" w:line="276" w:lineRule="auto"/>
        <w:ind w:left="720" w:hanging="720"/>
      </w:pPr>
      <w:r>
        <w:rPr>
          <w:rFonts w:ascii="Times New Roman" w:hAnsi="Times New Roman"/>
          <w:sz w:val="20"/>
        </w:rPr>
        <w:t>Schmalensee, R., &amp; Stavins, R. N. (2017). Lessons learned from three decades of experience with cap-and-trade. Review of Environmental Economics and Policy, 11(1), 59–79. https://doi.org/10.1093/reep/rew017</w:t>
      </w:r>
    </w:p>
    <w:p>
      <w:pPr>
        <w:spacing w:after="120" w:line="276" w:lineRule="auto"/>
        <w:ind w:left="720" w:hanging="720"/>
      </w:pPr>
      <w:r>
        <w:rPr>
          <w:rFonts w:ascii="Times New Roman" w:hAnsi="Times New Roman"/>
          <w:sz w:val="20"/>
        </w:rPr>
        <w:t>U.S. Environmental Protection Agency. (2024). Clean Air Markets Program data: Bulk data files [Data set]. U.S. EPA. https://campd.epa.gov/data/bulk-data-files</w:t>
      </w:r>
    </w:p>
    <w:p>
      <w:pPr>
        <w:keepNext/>
        <w:spacing w:before="320" w:after="160"/>
        <w:jc w:val="center"/>
      </w:pPr>
      <w:r>
        <w:rPr>
          <w:rFonts w:ascii="Times New Roman" w:hAnsi="Times New Roman"/>
          <w:b/>
          <w:color w:val="0F2240"/>
          <w:sz w:val="28"/>
        </w:rPr>
        <w:t>9. Appendices</w:t>
      </w:r>
    </w:p>
    <w:p>
      <w:pPr>
        <w:keepNext/>
        <w:spacing w:before="240" w:after="120"/>
        <w:jc w:val="left"/>
      </w:pPr>
      <w:r>
        <w:rPr>
          <w:rFonts w:ascii="Times New Roman" w:hAnsi="Times New Roman"/>
          <w:b/>
          <w:color w:val="19375F"/>
          <w:sz w:val="24"/>
        </w:rPr>
        <w:t>Appendix A: Data Cleaning and Feature Engineering Python Source Code</w:t>
      </w:r>
    </w:p>
    <w:p>
      <w:pPr>
        <w:spacing w:after="120" w:line="276" w:lineRule="auto"/>
        <w:jc w:val="left"/>
      </w:pPr>
      <w:r>
        <w:rPr>
          <w:rFonts w:ascii="Times New Roman" w:hAnsi="Times New Roman"/>
          <w:i w:val="0"/>
          <w:sz w:val="22"/>
        </w:rPr>
        <w:t>The following Python script illustrates the automated data loading, regular expression parsing of nameplate capacity, missing value imputation, and feature engineering pipeline executed on facility-2025.csv:</w:t>
      </w:r>
    </w:p>
    <w:p>
      <w:pPr>
        <w:spacing w:before="120" w:after="160" w:line="276" w:lineRule="auto"/>
        <w:ind w:left="576" w:right="576"/>
      </w:pPr>
      <w:r>
        <w:rPr>
          <w:rFonts w:ascii="Times New Roman" w:hAnsi="Times New Roman"/>
          <w:b/>
          <w:color w:val="1E4678"/>
          <w:sz w:val="20"/>
        </w:rPr>
        <w:t>Appendix A Code Listing:</w:t>
        <w:br/>
      </w:r>
      <w:r>
        <w:rPr>
          <w:rFonts w:ascii="Times New Roman" w:hAnsi="Times New Roman"/>
          <w:i/>
          <w:sz w:val="20"/>
        </w:rPr>
        <w:t>import re</w:t>
        <w:br/>
        <w:t>import numpy as np</w:t>
        <w:br/>
        <w:t>import pandas as pd</w:t>
        <w:br/>
        <w:br/>
        <w:t># Load raw CAMPD bulk dataset</w:t>
        <w:br/>
        <w:t>df = pd.read_csv('facility-2025.csv', low_memory=False)</w:t>
        <w:br/>
        <w:br/>
        <w:t># Parse electrical capacity (MWe) from text strings</w:t>
        <w:br/>
        <w:t>def parse_capacity(val):</w:t>
        <w:br/>
        <w:t xml:space="preserve">    if pd.isna(val): return np.nan</w:t>
        <w:br/>
        <w:t xml:space="preserve">    matches = re.findall(r'\(([\d\.]+)\)', str(val))</w:t>
        <w:br/>
        <w:t xml:space="preserve">    return sum([float(m) for m in matches]) if matches else np.nan</w:t>
        <w:br/>
        <w:br/>
        <w:t>df['Capacity_MW'] = df['Associated Generators &amp; Nameplate Capacity (MWe)'].apply(parse_capacity)</w:t>
        <w:br/>
        <w:br/>
        <w:t># Calculate unit operating vintage (years)</w:t>
        <w:br/>
        <w:t>dates = pd.to_datetime(df['Commercial Operation Date'], errors='coerce')</w:t>
        <w:br/>
        <w:t>df['Unit_Age'] = 2025 - dates.dt.year</w:t>
        <w:br/>
        <w:br/>
        <w:t># Impute missing numericals via unit technology class medians</w:t>
        <w:br/>
        <w:t>df['Capacity_MW'] = df['Capacity_MW'].fillna(df.groupby('Unit Type')['Capacity_MW'].transform('median'))</w:t>
        <w:br/>
        <w:t>df['Unit_Age'] = df['Unit_Age'].fillna(df.groupby('Unit Type')['Unit_Age'].transform('median'))</w:t>
        <w:br/>
        <w:br/>
        <w:t># Binary pollution control flags</w:t>
        <w:br/>
        <w:t>df['Has_SO2_Control'] = df['SO2 Controls'].notna().astype(int)</w:t>
        <w:br/>
        <w:t>df['Has_NOx_Control'] = df['NOx Controls'].notna().astype(int)</w:t>
        <w:br/>
        <w:t>df['Has_PM_Control'] = df['PM Controls'].notna().astype(int)</w:t>
        <w:br/>
        <w:t>df['Has_Hg_Control'] = df['Hg Controls'].notna().astype(int)</w:t>
        <w:br/>
        <w:t>df['Control_Count'] = df[['Has_SO2_Control', 'Has_NOx_Control', 'Has_PM_Control', 'Has_Hg_Control']].sum(axis=1)</w:t>
        <w:br/>
        <w:br/>
        <w:t># High-emitter binary target (Top quartile &gt;= 75th percentile)</w:t>
        <w:br/>
        <w:t>df['High_Emitter'] = (df['Max Hourly HI Rate (mmBtu/hr)'] &gt;= df['Max Hourly HI Rate (mmBtu/hr)'].quantile(0.75)).astype(int)</w:t>
      </w:r>
    </w:p>
    <w:p>
      <w:pPr>
        <w:keepNext/>
        <w:spacing w:before="240" w:after="120"/>
        <w:jc w:val="left"/>
      </w:pPr>
      <w:r>
        <w:rPr>
          <w:rFonts w:ascii="Times New Roman" w:hAnsi="Times New Roman"/>
          <w:b/>
          <w:color w:val="19375F"/>
          <w:sz w:val="24"/>
        </w:rPr>
        <w:t>Appendix B: Statistical Testing &amp; Machine Learning Modeling Python Source Code</w:t>
      </w:r>
    </w:p>
    <w:p>
      <w:pPr>
        <w:spacing w:after="120" w:line="276" w:lineRule="auto"/>
        <w:jc w:val="left"/>
      </w:pPr>
      <w:r>
        <w:rPr>
          <w:rFonts w:ascii="Times New Roman" w:hAnsi="Times New Roman"/>
          <w:i w:val="0"/>
          <w:sz w:val="22"/>
        </w:rPr>
        <w:t>The following Python snippet documents the execution of One-Way ANOVA, Kruskal-Wallis non-parametric testing, Random Forest classifier training with 5-fold cross-validation, and K-Means unsupervised clustering:</w:t>
      </w:r>
    </w:p>
    <w:p>
      <w:pPr>
        <w:spacing w:before="120" w:after="160" w:line="276" w:lineRule="auto"/>
        <w:ind w:left="576" w:right="576"/>
      </w:pPr>
      <w:r>
        <w:rPr>
          <w:rFonts w:ascii="Times New Roman" w:hAnsi="Times New Roman"/>
          <w:b/>
          <w:color w:val="1E4678"/>
          <w:sz w:val="20"/>
        </w:rPr>
        <w:t>Appendix B Code Listing:</w:t>
        <w:br/>
      </w:r>
      <w:r>
        <w:rPr>
          <w:rFonts w:ascii="Times New Roman" w:hAnsi="Times New Roman"/>
          <w:i/>
          <w:sz w:val="20"/>
        </w:rPr>
        <w:t>import scipy.stats as stats</w:t>
        <w:br/>
        <w:t>from sklearn.model_selection import train_test_split, cross_val_score, StratifiedKFold</w:t>
        <w:br/>
        <w:t>from sklearn.ensemble import RandomForestClassifier</w:t>
        <w:br/>
        <w:t>from sklearn.cluster import KMeans</w:t>
        <w:br/>
        <w:t>from sklearn.preprocessing import StandardScaler</w:t>
        <w:br/>
        <w:br/>
        <w:t># RQ1: One-Way ANOVA and Kruskal-Wallis</w:t>
        <w:br/>
        <w:t>groups = [grp['Max Hourly HI Rate (mmBtu/hr)'].values for _, grp in df.groupby('Fuel_Category')]</w:t>
        <w:br/>
        <w:t>f_stat, p_anova = stats.f_oneway(*groups)</w:t>
        <w:br/>
        <w:t>h_stat, p_kw = stats.kruskal(*groups)</w:t>
        <w:br/>
        <w:br/>
        <w:t># RQ2: Supervised Random Forest Classification</w:t>
        <w:br/>
        <w:t>X = pd.get_dummies(df[['Capacity_MW', 'Unit_Age', 'Control_Count', 'Fuel_Category', 'Unit_Type_Category']], drop_first=True)</w:t>
        <w:br/>
        <w:t>y = df['High_Emitter'].values</w:t>
        <w:br/>
        <w:t>X_train, X_test, y_train, y_test = train_test_split(X, y, test_size=0.20, stratify=y, random_state=42)</w:t>
        <w:br/>
        <w:t>rf = RandomForestClassifier(n_estimators=150, max_depth=10, class_weight='balanced', random_state=42)</w:t>
        <w:br/>
        <w:t>rf.fit(X_train, y_train)</w:t>
        <w:br/>
        <w:t>cv_scores = cross_val_score(rf, X_train, y_train, cv=StratifiedKFold(5), scoring='f1')</w:t>
        <w:br/>
        <w:br/>
        <w:t># RQ4: Unsupervised Fleet Clustering (k = 4)</w:t>
        <w:br/>
        <w:t>X_clus = StandardScaler().fit_transform(np.log1p(df[['Capacity_MW', 'Max Hourly HI Rate (mmBtu/hr)']]))</w:t>
        <w:br/>
        <w:t>kmeans = KMeans(n_clusters=4, random_state=42, n_init=15).fit(X_clus)</w:t>
        <w:br/>
        <w:t>df['Cluster'] = kmeans.labels_</w:t>
      </w:r>
    </w:p>
    <w:p>
      <w:pPr>
        <w:keepNext/>
        <w:spacing w:before="240" w:after="120"/>
        <w:jc w:val="left"/>
      </w:pPr>
      <w:r>
        <w:rPr>
          <w:rFonts w:ascii="Times New Roman" w:hAnsi="Times New Roman"/>
          <w:b/>
          <w:color w:val="19375F"/>
          <w:sz w:val="24"/>
        </w:rPr>
        <w:t>Appendix C: Complete Tukey HSD Pairwise Multiple Comparisons Table (RQ1)</w:t>
      </w:r>
    </w:p>
    <w:p>
      <w:pPr>
        <w:spacing w:after="120" w:line="276" w:lineRule="auto"/>
        <w:jc w:val="left"/>
      </w:pPr>
      <w:r>
        <w:rPr>
          <w:rFonts w:ascii="Times New Roman" w:hAnsi="Times New Roman"/>
          <w:i w:val="0"/>
          <w:sz w:val="22"/>
        </w:rPr>
        <w:t>Table C1 documents the exhaustive pairwise post-hoc contrasts for maximum hourly heat input rate across primary fuel categories, controlling family-wise error rate at α = 0.05 via Tukey's Honestly Significant Difference procedure.</w:t>
      </w:r>
    </w:p>
    <w:p>
      <w:pPr>
        <w:keepNext/>
        <w:spacing w:before="240" w:after="40"/>
      </w:pPr>
      <w:r>
        <w:rPr>
          <w:rFonts w:ascii="Times New Roman" w:hAnsi="Times New Roman"/>
          <w:b/>
          <w:sz w:val="22"/>
        </w:rPr>
        <w:t>Table C1</w:t>
      </w:r>
    </w:p>
    <w:p>
      <w:pPr>
        <w:keepNext/>
        <w:spacing w:before="0" w:after="120"/>
      </w:pPr>
      <w:r>
        <w:rPr>
          <w:rFonts w:ascii="Times New Roman" w:hAnsi="Times New Roman"/>
          <w:i/>
          <w:sz w:val="22"/>
        </w:rPr>
        <w:t>Exhaustive Tukey HSD Pairwise Multiple Comparisons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337"/>
        <w:gridCol w:w="1337"/>
        <w:gridCol w:w="1337"/>
        <w:gridCol w:w="1337"/>
        <w:gridCol w:w="1337"/>
        <w:gridCol w:w="1337"/>
        <w:gridCol w:w="1337"/>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Group 1</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Group 2</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Mean Diff</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p-adj</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95% Lower</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95% Upper</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Reject H0</w:t>
            </w:r>
          </w:p>
        </w:tc>
      </w:tr>
      <w:tr>
        <w:tc>
          <w:tcPr>
            <w:tcW w:type="dxa" w:w="1584"/>
          </w:tcPr>
          <w:p>
            <w:pPr>
              <w:spacing w:before="40" w:after="40" w:line="252" w:lineRule="auto"/>
              <w:jc w:val="left"/>
            </w:pPr>
            <w:r>
              <w:rPr>
                <w:rFonts w:ascii="Times New Roman" w:hAnsi="Times New Roman"/>
                <w:sz w:val="18"/>
              </w:rPr>
              <w:t>Biomass</w:t>
            </w:r>
          </w:p>
        </w:tc>
        <w:tc>
          <w:tcPr>
            <w:tcW w:type="dxa" w:w="1584"/>
          </w:tcPr>
          <w:p>
            <w:pPr>
              <w:spacing w:before="40" w:after="40" w:line="252" w:lineRule="auto"/>
              <w:jc w:val="left"/>
            </w:pPr>
            <w:r>
              <w:rPr>
                <w:rFonts w:ascii="Times New Roman" w:hAnsi="Times New Roman"/>
                <w:sz w:val="18"/>
              </w:rPr>
              <w:t>Coal</w:t>
            </w:r>
          </w:p>
        </w:tc>
        <w:tc>
          <w:tcPr>
            <w:tcW w:type="dxa" w:w="1584"/>
          </w:tcPr>
          <w:p>
            <w:pPr>
              <w:spacing w:before="40" w:after="40" w:line="252" w:lineRule="auto"/>
              <w:jc w:val="left"/>
            </w:pPr>
            <w:r>
              <w:rPr>
                <w:rFonts w:ascii="Times New Roman" w:hAnsi="Times New Roman"/>
                <w:sz w:val="18"/>
              </w:rPr>
              <w:t>4,483.7</w:t>
            </w:r>
          </w:p>
        </w:tc>
        <w:tc>
          <w:tcPr>
            <w:tcW w:type="dxa" w:w="1152"/>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3,553.0</w:t>
            </w:r>
          </w:p>
        </w:tc>
        <w:tc>
          <w:tcPr>
            <w:tcW w:type="dxa" w:w="1440"/>
          </w:tcPr>
          <w:p>
            <w:pPr>
              <w:spacing w:before="40" w:after="40" w:line="252" w:lineRule="auto"/>
              <w:jc w:val="left"/>
            </w:pPr>
            <w:r>
              <w:rPr>
                <w:rFonts w:ascii="Times New Roman" w:hAnsi="Times New Roman"/>
                <w:sz w:val="18"/>
              </w:rPr>
              <w:t>5,414.5</w:t>
            </w:r>
          </w:p>
        </w:tc>
        <w:tc>
          <w:tcPr>
            <w:tcW w:type="dxa" w:w="1152"/>
          </w:tcPr>
          <w:p>
            <w:pPr>
              <w:spacing w:before="40" w:after="40" w:line="252" w:lineRule="auto"/>
              <w:jc w:val="left"/>
            </w:pPr>
            <w:r>
              <w:rPr>
                <w:rFonts w:ascii="Times New Roman" w:hAnsi="Times New Roman"/>
                <w:sz w:val="18"/>
              </w:rPr>
              <w:t>Yes</w:t>
            </w:r>
          </w:p>
        </w:tc>
      </w:tr>
      <w:tr>
        <w:tc>
          <w:tcPr>
            <w:tcW w:type="dxa" w:w="1584"/>
            <w:shd w:fill="FAFAFA"/>
          </w:tcPr>
          <w:p>
            <w:pPr>
              <w:spacing w:before="40" w:after="40" w:line="252" w:lineRule="auto"/>
              <w:jc w:val="left"/>
            </w:pPr>
            <w:r>
              <w:rPr>
                <w:rFonts w:ascii="Times New Roman" w:hAnsi="Times New Roman"/>
                <w:sz w:val="18"/>
              </w:rPr>
              <w:t>Biomass</w:t>
            </w:r>
          </w:p>
        </w:tc>
        <w:tc>
          <w:tcPr>
            <w:tcW w:type="dxa" w:w="1584"/>
            <w:shd w:fill="FAFAFA"/>
          </w:tcPr>
          <w:p>
            <w:pPr>
              <w:spacing w:before="40" w:after="40" w:line="252" w:lineRule="auto"/>
              <w:jc w:val="left"/>
            </w:pPr>
            <w:r>
              <w:rPr>
                <w:rFonts w:ascii="Times New Roman" w:hAnsi="Times New Roman"/>
                <w:sz w:val="18"/>
              </w:rPr>
              <w:t>Natural Gas</w:t>
            </w:r>
          </w:p>
        </w:tc>
        <w:tc>
          <w:tcPr>
            <w:tcW w:type="dxa" w:w="1584"/>
            <w:shd w:fill="FAFAFA"/>
          </w:tcPr>
          <w:p>
            <w:pPr>
              <w:spacing w:before="40" w:after="40" w:line="252" w:lineRule="auto"/>
              <w:jc w:val="left"/>
            </w:pPr>
            <w:r>
              <w:rPr>
                <w:rFonts w:ascii="Times New Roman" w:hAnsi="Times New Roman"/>
                <w:sz w:val="18"/>
              </w:rPr>
              <w:t>815.6</w:t>
            </w:r>
          </w:p>
        </w:tc>
        <w:tc>
          <w:tcPr>
            <w:tcW w:type="dxa" w:w="1152"/>
            <w:shd w:fill="FAFAFA"/>
          </w:tcPr>
          <w:p>
            <w:pPr>
              <w:spacing w:before="40" w:after="40" w:line="252" w:lineRule="auto"/>
              <w:jc w:val="left"/>
            </w:pPr>
            <w:r>
              <w:rPr>
                <w:rFonts w:ascii="Times New Roman" w:hAnsi="Times New Roman"/>
                <w:sz w:val="18"/>
              </w:rPr>
              <w:t>0.1034</w:t>
            </w:r>
          </w:p>
        </w:tc>
        <w:tc>
          <w:tcPr>
            <w:tcW w:type="dxa" w:w="1440"/>
            <w:shd w:fill="FAFAFA"/>
          </w:tcPr>
          <w:p>
            <w:pPr>
              <w:spacing w:before="40" w:after="40" w:line="252" w:lineRule="auto"/>
              <w:jc w:val="left"/>
            </w:pPr>
            <w:r>
              <w:rPr>
                <w:rFonts w:ascii="Times New Roman" w:hAnsi="Times New Roman"/>
                <w:sz w:val="18"/>
              </w:rPr>
              <w:t>-94.2</w:t>
            </w:r>
          </w:p>
        </w:tc>
        <w:tc>
          <w:tcPr>
            <w:tcW w:type="dxa" w:w="1440"/>
            <w:shd w:fill="FAFAFA"/>
          </w:tcPr>
          <w:p>
            <w:pPr>
              <w:spacing w:before="40" w:after="40" w:line="252" w:lineRule="auto"/>
              <w:jc w:val="left"/>
            </w:pPr>
            <w:r>
              <w:rPr>
                <w:rFonts w:ascii="Times New Roman" w:hAnsi="Times New Roman"/>
                <w:sz w:val="18"/>
              </w:rPr>
              <w:t>1,725.3</w:t>
            </w:r>
          </w:p>
        </w:tc>
        <w:tc>
          <w:tcPr>
            <w:tcW w:type="dxa" w:w="1152"/>
            <w:shd w:fill="FAFAFA"/>
          </w:tcPr>
          <w:p>
            <w:pPr>
              <w:spacing w:before="40" w:after="40" w:line="252" w:lineRule="auto"/>
              <w:jc w:val="left"/>
            </w:pPr>
            <w:r>
              <w:rPr>
                <w:rFonts w:ascii="Times New Roman" w:hAnsi="Times New Roman"/>
                <w:sz w:val="18"/>
              </w:rPr>
              <w:t>No</w:t>
            </w:r>
          </w:p>
        </w:tc>
      </w:tr>
      <w:tr>
        <w:tc>
          <w:tcPr>
            <w:tcW w:type="dxa" w:w="1584"/>
          </w:tcPr>
          <w:p>
            <w:pPr>
              <w:spacing w:before="40" w:after="40" w:line="252" w:lineRule="auto"/>
              <w:jc w:val="left"/>
            </w:pPr>
            <w:r>
              <w:rPr>
                <w:rFonts w:ascii="Times New Roman" w:hAnsi="Times New Roman"/>
                <w:sz w:val="18"/>
              </w:rPr>
              <w:t>Biomass</w:t>
            </w:r>
          </w:p>
        </w:tc>
        <w:tc>
          <w:tcPr>
            <w:tcW w:type="dxa" w:w="1584"/>
          </w:tcPr>
          <w:p>
            <w:pPr>
              <w:spacing w:before="40" w:after="40" w:line="252" w:lineRule="auto"/>
              <w:jc w:val="left"/>
            </w:pPr>
            <w:r>
              <w:rPr>
                <w:rFonts w:ascii="Times New Roman" w:hAnsi="Times New Roman"/>
                <w:sz w:val="18"/>
              </w:rPr>
              <w:t>Oil / Diesel</w:t>
            </w:r>
          </w:p>
        </w:tc>
        <w:tc>
          <w:tcPr>
            <w:tcW w:type="dxa" w:w="1584"/>
          </w:tcPr>
          <w:p>
            <w:pPr>
              <w:spacing w:before="40" w:after="40" w:line="252" w:lineRule="auto"/>
              <w:jc w:val="left"/>
            </w:pPr>
            <w:r>
              <w:rPr>
                <w:rFonts w:ascii="Times New Roman" w:hAnsi="Times New Roman"/>
                <w:sz w:val="18"/>
              </w:rPr>
              <w:t>39.2</w:t>
            </w:r>
          </w:p>
        </w:tc>
        <w:tc>
          <w:tcPr>
            <w:tcW w:type="dxa" w:w="1152"/>
          </w:tcPr>
          <w:p>
            <w:pPr>
              <w:spacing w:before="40" w:after="40" w:line="252" w:lineRule="auto"/>
              <w:jc w:val="left"/>
            </w:pPr>
            <w:r>
              <w:rPr>
                <w:rFonts w:ascii="Times New Roman" w:hAnsi="Times New Roman"/>
                <w:sz w:val="18"/>
              </w:rPr>
              <w:t>1.0000</w:t>
            </w:r>
          </w:p>
        </w:tc>
        <w:tc>
          <w:tcPr>
            <w:tcW w:type="dxa" w:w="1440"/>
          </w:tcPr>
          <w:p>
            <w:pPr>
              <w:spacing w:before="40" w:after="40" w:line="252" w:lineRule="auto"/>
              <w:jc w:val="left"/>
            </w:pPr>
            <w:r>
              <w:rPr>
                <w:rFonts w:ascii="Times New Roman" w:hAnsi="Times New Roman"/>
                <w:sz w:val="18"/>
              </w:rPr>
              <w:t>-900.1</w:t>
            </w:r>
          </w:p>
        </w:tc>
        <w:tc>
          <w:tcPr>
            <w:tcW w:type="dxa" w:w="1440"/>
          </w:tcPr>
          <w:p>
            <w:pPr>
              <w:spacing w:before="40" w:after="40" w:line="252" w:lineRule="auto"/>
              <w:jc w:val="left"/>
            </w:pPr>
            <w:r>
              <w:rPr>
                <w:rFonts w:ascii="Times New Roman" w:hAnsi="Times New Roman"/>
                <w:sz w:val="18"/>
              </w:rPr>
              <w:t>978.5</w:t>
            </w:r>
          </w:p>
        </w:tc>
        <w:tc>
          <w:tcPr>
            <w:tcW w:type="dxa" w:w="1152"/>
          </w:tcPr>
          <w:p>
            <w:pPr>
              <w:spacing w:before="40" w:after="40" w:line="252" w:lineRule="auto"/>
              <w:jc w:val="left"/>
            </w:pPr>
            <w:r>
              <w:rPr>
                <w:rFonts w:ascii="Times New Roman" w:hAnsi="Times New Roman"/>
                <w:sz w:val="18"/>
              </w:rPr>
              <w:t>No</w:t>
            </w:r>
          </w:p>
        </w:tc>
      </w:tr>
      <w:tr>
        <w:tc>
          <w:tcPr>
            <w:tcW w:type="dxa" w:w="1584"/>
            <w:shd w:fill="FAFAFA"/>
          </w:tcPr>
          <w:p>
            <w:pPr>
              <w:spacing w:before="40" w:after="40" w:line="252" w:lineRule="auto"/>
              <w:jc w:val="left"/>
            </w:pPr>
            <w:r>
              <w:rPr>
                <w:rFonts w:ascii="Times New Roman" w:hAnsi="Times New Roman"/>
                <w:sz w:val="18"/>
              </w:rPr>
              <w:t>Biomass</w:t>
            </w:r>
          </w:p>
        </w:tc>
        <w:tc>
          <w:tcPr>
            <w:tcW w:type="dxa" w:w="1584"/>
            <w:shd w:fill="FAFAFA"/>
          </w:tcPr>
          <w:p>
            <w:pPr>
              <w:spacing w:before="40" w:after="40" w:line="252" w:lineRule="auto"/>
              <w:jc w:val="left"/>
            </w:pPr>
            <w:r>
              <w:rPr>
                <w:rFonts w:ascii="Times New Roman" w:hAnsi="Times New Roman"/>
                <w:sz w:val="18"/>
              </w:rPr>
              <w:t>Other/Unknown</w:t>
            </w:r>
          </w:p>
        </w:tc>
        <w:tc>
          <w:tcPr>
            <w:tcW w:type="dxa" w:w="1584"/>
            <w:shd w:fill="FAFAFA"/>
          </w:tcPr>
          <w:p>
            <w:pPr>
              <w:spacing w:before="40" w:after="40" w:line="252" w:lineRule="auto"/>
              <w:jc w:val="left"/>
            </w:pPr>
            <w:r>
              <w:rPr>
                <w:rFonts w:ascii="Times New Roman" w:hAnsi="Times New Roman"/>
                <w:sz w:val="18"/>
              </w:rPr>
              <w:t>541.8</w:t>
            </w:r>
          </w:p>
        </w:tc>
        <w:tc>
          <w:tcPr>
            <w:tcW w:type="dxa" w:w="1152"/>
            <w:shd w:fill="FAFAFA"/>
          </w:tcPr>
          <w:p>
            <w:pPr>
              <w:spacing w:before="40" w:after="40" w:line="252" w:lineRule="auto"/>
              <w:jc w:val="left"/>
            </w:pPr>
            <w:r>
              <w:rPr>
                <w:rFonts w:ascii="Times New Roman" w:hAnsi="Times New Roman"/>
                <w:sz w:val="18"/>
              </w:rPr>
              <w:t>0.6776</w:t>
            </w:r>
          </w:p>
        </w:tc>
        <w:tc>
          <w:tcPr>
            <w:tcW w:type="dxa" w:w="1440"/>
            <w:shd w:fill="FAFAFA"/>
          </w:tcPr>
          <w:p>
            <w:pPr>
              <w:spacing w:before="40" w:after="40" w:line="252" w:lineRule="auto"/>
              <w:jc w:val="left"/>
            </w:pPr>
            <w:r>
              <w:rPr>
                <w:rFonts w:ascii="Times New Roman" w:hAnsi="Times New Roman"/>
                <w:sz w:val="18"/>
              </w:rPr>
              <w:t>-576.8</w:t>
            </w:r>
          </w:p>
        </w:tc>
        <w:tc>
          <w:tcPr>
            <w:tcW w:type="dxa" w:w="1440"/>
            <w:shd w:fill="FAFAFA"/>
          </w:tcPr>
          <w:p>
            <w:pPr>
              <w:spacing w:before="40" w:after="40" w:line="252" w:lineRule="auto"/>
              <w:jc w:val="left"/>
            </w:pPr>
            <w:r>
              <w:rPr>
                <w:rFonts w:ascii="Times New Roman" w:hAnsi="Times New Roman"/>
                <w:sz w:val="18"/>
              </w:rPr>
              <w:t>1,660.4</w:t>
            </w:r>
          </w:p>
        </w:tc>
        <w:tc>
          <w:tcPr>
            <w:tcW w:type="dxa" w:w="1152"/>
            <w:shd w:fill="FAFAFA"/>
          </w:tcPr>
          <w:p>
            <w:pPr>
              <w:spacing w:before="40" w:after="40" w:line="252" w:lineRule="auto"/>
              <w:jc w:val="left"/>
            </w:pPr>
            <w:r>
              <w:rPr>
                <w:rFonts w:ascii="Times New Roman" w:hAnsi="Times New Roman"/>
                <w:sz w:val="18"/>
              </w:rPr>
              <w:t>No</w:t>
            </w:r>
          </w:p>
        </w:tc>
      </w:tr>
      <w:tr>
        <w:tc>
          <w:tcPr>
            <w:tcW w:type="dxa" w:w="1584"/>
          </w:tcPr>
          <w:p>
            <w:pPr>
              <w:spacing w:before="40" w:after="40" w:line="252" w:lineRule="auto"/>
              <w:jc w:val="left"/>
            </w:pPr>
            <w:r>
              <w:rPr>
                <w:rFonts w:ascii="Times New Roman" w:hAnsi="Times New Roman"/>
                <w:sz w:val="18"/>
              </w:rPr>
              <w:t>Coal</w:t>
            </w:r>
          </w:p>
        </w:tc>
        <w:tc>
          <w:tcPr>
            <w:tcW w:type="dxa" w:w="1584"/>
          </w:tcPr>
          <w:p>
            <w:pPr>
              <w:spacing w:before="40" w:after="40" w:line="252" w:lineRule="auto"/>
              <w:jc w:val="left"/>
            </w:pPr>
            <w:r>
              <w:rPr>
                <w:rFonts w:ascii="Times New Roman" w:hAnsi="Times New Roman"/>
                <w:sz w:val="18"/>
              </w:rPr>
              <w:t>Natural Gas</w:t>
            </w:r>
          </w:p>
        </w:tc>
        <w:tc>
          <w:tcPr>
            <w:tcW w:type="dxa" w:w="1584"/>
          </w:tcPr>
          <w:p>
            <w:pPr>
              <w:spacing w:before="40" w:after="40" w:line="252" w:lineRule="auto"/>
              <w:jc w:val="left"/>
            </w:pPr>
            <w:r>
              <w:rPr>
                <w:rFonts w:ascii="Times New Roman" w:hAnsi="Times New Roman"/>
                <w:sz w:val="18"/>
              </w:rPr>
              <w:t>-3,668.2</w:t>
            </w:r>
          </w:p>
        </w:tc>
        <w:tc>
          <w:tcPr>
            <w:tcW w:type="dxa" w:w="1152"/>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-3,892.7</w:t>
            </w:r>
          </w:p>
        </w:tc>
        <w:tc>
          <w:tcPr>
            <w:tcW w:type="dxa" w:w="1440"/>
          </w:tcPr>
          <w:p>
            <w:pPr>
              <w:spacing w:before="40" w:after="40" w:line="252" w:lineRule="auto"/>
              <w:jc w:val="left"/>
            </w:pPr>
            <w:r>
              <w:rPr>
                <w:rFonts w:ascii="Times New Roman" w:hAnsi="Times New Roman"/>
                <w:sz w:val="18"/>
              </w:rPr>
              <w:t>-3,443.7</w:t>
            </w:r>
          </w:p>
        </w:tc>
        <w:tc>
          <w:tcPr>
            <w:tcW w:type="dxa" w:w="1152"/>
          </w:tcPr>
          <w:p>
            <w:pPr>
              <w:spacing w:before="40" w:after="40" w:line="252" w:lineRule="auto"/>
              <w:jc w:val="left"/>
            </w:pPr>
            <w:r>
              <w:rPr>
                <w:rFonts w:ascii="Times New Roman" w:hAnsi="Times New Roman"/>
                <w:sz w:val="18"/>
              </w:rPr>
              <w:t>Yes</w:t>
            </w:r>
          </w:p>
        </w:tc>
      </w:tr>
      <w:tr>
        <w:tc>
          <w:tcPr>
            <w:tcW w:type="dxa" w:w="1584"/>
            <w:shd w:fill="FAFAFA"/>
          </w:tcPr>
          <w:p>
            <w:pPr>
              <w:spacing w:before="40" w:after="40" w:line="252" w:lineRule="auto"/>
              <w:jc w:val="left"/>
            </w:pPr>
            <w:r>
              <w:rPr>
                <w:rFonts w:ascii="Times New Roman" w:hAnsi="Times New Roman"/>
                <w:sz w:val="18"/>
              </w:rPr>
              <w:t>Coal</w:t>
            </w:r>
          </w:p>
        </w:tc>
        <w:tc>
          <w:tcPr>
            <w:tcW w:type="dxa" w:w="1584"/>
            <w:shd w:fill="FAFAFA"/>
          </w:tcPr>
          <w:p>
            <w:pPr>
              <w:spacing w:before="40" w:after="40" w:line="252" w:lineRule="auto"/>
              <w:jc w:val="left"/>
            </w:pPr>
            <w:r>
              <w:rPr>
                <w:rFonts w:ascii="Times New Roman" w:hAnsi="Times New Roman"/>
                <w:sz w:val="18"/>
              </w:rPr>
              <w:t>Oil / Diesel</w:t>
            </w:r>
          </w:p>
        </w:tc>
        <w:tc>
          <w:tcPr>
            <w:tcW w:type="dxa" w:w="1584"/>
            <w:shd w:fill="FAFAFA"/>
          </w:tcPr>
          <w:p>
            <w:pPr>
              <w:spacing w:before="40" w:after="40" w:line="252" w:lineRule="auto"/>
              <w:jc w:val="left"/>
            </w:pPr>
            <w:r>
              <w:rPr>
                <w:rFonts w:ascii="Times New Roman" w:hAnsi="Times New Roman"/>
                <w:sz w:val="18"/>
              </w:rPr>
              <w:t>-4,444.5</w:t>
            </w:r>
          </w:p>
        </w:tc>
        <w:tc>
          <w:tcPr>
            <w:tcW w:type="dxa" w:w="1152"/>
            <w:shd w:fill="FAFAFA"/>
          </w:tcPr>
          <w:p>
            <w:pPr>
              <w:spacing w:before="40" w:after="40" w:line="252" w:lineRule="auto"/>
              <w:jc w:val="left"/>
            </w:pPr>
            <w:r>
              <w:rPr>
                <w:rFonts w:ascii="Times New Roman" w:hAnsi="Times New Roman"/>
                <w:sz w:val="18"/>
              </w:rPr>
              <w:t>0.0000</w:t>
            </w:r>
          </w:p>
        </w:tc>
        <w:tc>
          <w:tcPr>
            <w:tcW w:type="dxa" w:w="1440"/>
            <w:shd w:fill="FAFAFA"/>
          </w:tcPr>
          <w:p>
            <w:pPr>
              <w:spacing w:before="40" w:after="40" w:line="252" w:lineRule="auto"/>
              <w:jc w:val="left"/>
            </w:pPr>
            <w:r>
              <w:rPr>
                <w:rFonts w:ascii="Times New Roman" w:hAnsi="Times New Roman"/>
                <w:sz w:val="18"/>
              </w:rPr>
              <w:t>-4,768.8</w:t>
            </w:r>
          </w:p>
        </w:tc>
        <w:tc>
          <w:tcPr>
            <w:tcW w:type="dxa" w:w="1440"/>
            <w:shd w:fill="FAFAFA"/>
          </w:tcPr>
          <w:p>
            <w:pPr>
              <w:spacing w:before="40" w:after="40" w:line="252" w:lineRule="auto"/>
              <w:jc w:val="left"/>
            </w:pPr>
            <w:r>
              <w:rPr>
                <w:rFonts w:ascii="Times New Roman" w:hAnsi="Times New Roman"/>
                <w:sz w:val="18"/>
              </w:rPr>
              <w:t>-4,120.3</w:t>
            </w:r>
          </w:p>
        </w:tc>
        <w:tc>
          <w:tcPr>
            <w:tcW w:type="dxa" w:w="1152"/>
            <w:shd w:fill="FAFAFA"/>
          </w:tcPr>
          <w:p>
            <w:pPr>
              <w:spacing w:before="40" w:after="40" w:line="252" w:lineRule="auto"/>
              <w:jc w:val="left"/>
            </w:pPr>
            <w:r>
              <w:rPr>
                <w:rFonts w:ascii="Times New Roman" w:hAnsi="Times New Roman"/>
                <w:sz w:val="18"/>
              </w:rPr>
              <w:t>Yes</w:t>
            </w:r>
          </w:p>
        </w:tc>
      </w:tr>
      <w:tr>
        <w:tc>
          <w:tcPr>
            <w:tcW w:type="dxa" w:w="1584"/>
          </w:tcPr>
          <w:p>
            <w:pPr>
              <w:spacing w:before="40" w:after="40" w:line="252" w:lineRule="auto"/>
              <w:jc w:val="left"/>
            </w:pPr>
            <w:r>
              <w:rPr>
                <w:rFonts w:ascii="Times New Roman" w:hAnsi="Times New Roman"/>
                <w:sz w:val="18"/>
              </w:rPr>
              <w:t>Coal</w:t>
            </w:r>
          </w:p>
        </w:tc>
        <w:tc>
          <w:tcPr>
            <w:tcW w:type="dxa" w:w="1584"/>
          </w:tcPr>
          <w:p>
            <w:pPr>
              <w:spacing w:before="40" w:after="40" w:line="252" w:lineRule="auto"/>
              <w:jc w:val="left"/>
            </w:pPr>
            <w:r>
              <w:rPr>
                <w:rFonts w:ascii="Times New Roman" w:hAnsi="Times New Roman"/>
                <w:sz w:val="18"/>
              </w:rPr>
              <w:t>Other/Unknown</w:t>
            </w:r>
          </w:p>
        </w:tc>
        <w:tc>
          <w:tcPr>
            <w:tcW w:type="dxa" w:w="1584"/>
          </w:tcPr>
          <w:p>
            <w:pPr>
              <w:spacing w:before="40" w:after="40" w:line="252" w:lineRule="auto"/>
              <w:jc w:val="left"/>
            </w:pPr>
            <w:r>
              <w:rPr>
                <w:rFonts w:ascii="Times New Roman" w:hAnsi="Times New Roman"/>
                <w:sz w:val="18"/>
              </w:rPr>
              <w:t>-3,941.9</w:t>
            </w:r>
          </w:p>
        </w:tc>
        <w:tc>
          <w:tcPr>
            <w:tcW w:type="dxa" w:w="1152"/>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-4,630.5</w:t>
            </w:r>
          </w:p>
        </w:tc>
        <w:tc>
          <w:tcPr>
            <w:tcW w:type="dxa" w:w="1440"/>
          </w:tcPr>
          <w:p>
            <w:pPr>
              <w:spacing w:before="40" w:after="40" w:line="252" w:lineRule="auto"/>
              <w:jc w:val="left"/>
            </w:pPr>
            <w:r>
              <w:rPr>
                <w:rFonts w:ascii="Times New Roman" w:hAnsi="Times New Roman"/>
                <w:sz w:val="18"/>
              </w:rPr>
              <w:t>-3,253.3</w:t>
            </w:r>
          </w:p>
        </w:tc>
        <w:tc>
          <w:tcPr>
            <w:tcW w:type="dxa" w:w="1152"/>
          </w:tcPr>
          <w:p>
            <w:pPr>
              <w:spacing w:before="40" w:after="40" w:line="252" w:lineRule="auto"/>
              <w:jc w:val="left"/>
            </w:pPr>
            <w:r>
              <w:rPr>
                <w:rFonts w:ascii="Times New Roman" w:hAnsi="Times New Roman"/>
                <w:sz w:val="18"/>
              </w:rPr>
              <w:t>Yes</w:t>
            </w:r>
          </w:p>
        </w:tc>
      </w:tr>
      <w:tr>
        <w:tc>
          <w:tcPr>
            <w:tcW w:type="dxa" w:w="1584"/>
            <w:shd w:fill="FAFAFA"/>
          </w:tcPr>
          <w:p>
            <w:pPr>
              <w:spacing w:before="40" w:after="40" w:line="252" w:lineRule="auto"/>
              <w:jc w:val="left"/>
            </w:pPr>
            <w:r>
              <w:rPr>
                <w:rFonts w:ascii="Times New Roman" w:hAnsi="Times New Roman"/>
                <w:sz w:val="18"/>
              </w:rPr>
              <w:t>Natural Gas</w:t>
            </w:r>
          </w:p>
        </w:tc>
        <w:tc>
          <w:tcPr>
            <w:tcW w:type="dxa" w:w="1584"/>
            <w:shd w:fill="FAFAFA"/>
          </w:tcPr>
          <w:p>
            <w:pPr>
              <w:spacing w:before="40" w:after="40" w:line="252" w:lineRule="auto"/>
              <w:jc w:val="left"/>
            </w:pPr>
            <w:r>
              <w:rPr>
                <w:rFonts w:ascii="Times New Roman" w:hAnsi="Times New Roman"/>
                <w:sz w:val="18"/>
              </w:rPr>
              <w:t>Oil / Diesel</w:t>
            </w:r>
          </w:p>
        </w:tc>
        <w:tc>
          <w:tcPr>
            <w:tcW w:type="dxa" w:w="1584"/>
            <w:shd w:fill="FAFAFA"/>
          </w:tcPr>
          <w:p>
            <w:pPr>
              <w:spacing w:before="40" w:after="40" w:line="252" w:lineRule="auto"/>
              <w:jc w:val="left"/>
            </w:pPr>
            <w:r>
              <w:rPr>
                <w:rFonts w:ascii="Times New Roman" w:hAnsi="Times New Roman"/>
                <w:sz w:val="18"/>
              </w:rPr>
              <w:t>-776.4</w:t>
            </w:r>
          </w:p>
        </w:tc>
        <w:tc>
          <w:tcPr>
            <w:tcW w:type="dxa" w:w="1152"/>
            <w:shd w:fill="FAFAFA"/>
          </w:tcPr>
          <w:p>
            <w:pPr>
              <w:spacing w:before="40" w:after="40" w:line="252" w:lineRule="auto"/>
              <w:jc w:val="left"/>
            </w:pPr>
            <w:r>
              <w:rPr>
                <w:rFonts w:ascii="Times New Roman" w:hAnsi="Times New Roman"/>
                <w:sz w:val="18"/>
              </w:rPr>
              <w:t>0.0000</w:t>
            </w:r>
          </w:p>
        </w:tc>
        <w:tc>
          <w:tcPr>
            <w:tcW w:type="dxa" w:w="1440"/>
            <w:shd w:fill="FAFAFA"/>
          </w:tcPr>
          <w:p>
            <w:pPr>
              <w:spacing w:before="40" w:after="40" w:line="252" w:lineRule="auto"/>
              <w:jc w:val="left"/>
            </w:pPr>
            <w:r>
              <w:rPr>
                <w:rFonts w:ascii="Times New Roman" w:hAnsi="Times New Roman"/>
                <w:sz w:val="18"/>
              </w:rPr>
              <w:t>-1,034.1</w:t>
            </w:r>
          </w:p>
        </w:tc>
        <w:tc>
          <w:tcPr>
            <w:tcW w:type="dxa" w:w="1440"/>
            <w:shd w:fill="FAFAFA"/>
          </w:tcPr>
          <w:p>
            <w:pPr>
              <w:spacing w:before="40" w:after="40" w:line="252" w:lineRule="auto"/>
              <w:jc w:val="left"/>
            </w:pPr>
            <w:r>
              <w:rPr>
                <w:rFonts w:ascii="Times New Roman" w:hAnsi="Times New Roman"/>
                <w:sz w:val="18"/>
              </w:rPr>
              <w:t>-518.7</w:t>
            </w:r>
          </w:p>
        </w:tc>
        <w:tc>
          <w:tcPr>
            <w:tcW w:type="dxa" w:w="1152"/>
            <w:shd w:fill="FAFAFA"/>
          </w:tcPr>
          <w:p>
            <w:pPr>
              <w:spacing w:before="40" w:after="40" w:line="252" w:lineRule="auto"/>
              <w:jc w:val="left"/>
            </w:pPr>
            <w:r>
              <w:rPr>
                <w:rFonts w:ascii="Times New Roman" w:hAnsi="Times New Roman"/>
                <w:sz w:val="18"/>
              </w:rPr>
              <w:t>Yes</w:t>
            </w:r>
          </w:p>
        </w:tc>
      </w:tr>
      <w:tr>
        <w:tc>
          <w:tcPr>
            <w:tcW w:type="dxa" w:w="1584"/>
          </w:tcPr>
          <w:p>
            <w:pPr>
              <w:spacing w:before="40" w:after="40" w:line="252" w:lineRule="auto"/>
              <w:jc w:val="left"/>
            </w:pPr>
            <w:r>
              <w:rPr>
                <w:rFonts w:ascii="Times New Roman" w:hAnsi="Times New Roman"/>
                <w:sz w:val="18"/>
              </w:rPr>
              <w:t>Natural Gas</w:t>
            </w:r>
          </w:p>
        </w:tc>
        <w:tc>
          <w:tcPr>
            <w:tcW w:type="dxa" w:w="1584"/>
          </w:tcPr>
          <w:p>
            <w:pPr>
              <w:spacing w:before="40" w:after="40" w:line="252" w:lineRule="auto"/>
              <w:jc w:val="left"/>
            </w:pPr>
            <w:r>
              <w:rPr>
                <w:rFonts w:ascii="Times New Roman" w:hAnsi="Times New Roman"/>
                <w:sz w:val="18"/>
              </w:rPr>
              <w:t>Other/Unknown</w:t>
            </w:r>
          </w:p>
        </w:tc>
        <w:tc>
          <w:tcPr>
            <w:tcW w:type="dxa" w:w="1584"/>
          </w:tcPr>
          <w:p>
            <w:pPr>
              <w:spacing w:before="40" w:after="40" w:line="252" w:lineRule="auto"/>
              <w:jc w:val="left"/>
            </w:pPr>
            <w:r>
              <w:rPr>
                <w:rFonts w:ascii="Times New Roman" w:hAnsi="Times New Roman"/>
                <w:sz w:val="18"/>
              </w:rPr>
              <w:t>-273.8</w:t>
            </w:r>
          </w:p>
        </w:tc>
        <w:tc>
          <w:tcPr>
            <w:tcW w:type="dxa" w:w="1152"/>
          </w:tcPr>
          <w:p>
            <w:pPr>
              <w:spacing w:before="40" w:after="40" w:line="252" w:lineRule="auto"/>
              <w:jc w:val="left"/>
            </w:pPr>
            <w:r>
              <w:rPr>
                <w:rFonts w:ascii="Times New Roman" w:hAnsi="Times New Roman"/>
                <w:sz w:val="18"/>
              </w:rPr>
              <w:t>0.7895</w:t>
            </w:r>
          </w:p>
        </w:tc>
        <w:tc>
          <w:tcPr>
            <w:tcW w:type="dxa" w:w="1440"/>
          </w:tcPr>
          <w:p>
            <w:pPr>
              <w:spacing w:before="40" w:after="40" w:line="252" w:lineRule="auto"/>
              <w:jc w:val="left"/>
            </w:pPr>
            <w:r>
              <w:rPr>
                <w:rFonts w:ascii="Times New Roman" w:hAnsi="Times New Roman"/>
                <w:sz w:val="18"/>
              </w:rPr>
              <w:t>-933.6</w:t>
            </w:r>
          </w:p>
        </w:tc>
        <w:tc>
          <w:tcPr>
            <w:tcW w:type="dxa" w:w="1440"/>
          </w:tcPr>
          <w:p>
            <w:pPr>
              <w:spacing w:before="40" w:after="40" w:line="252" w:lineRule="auto"/>
              <w:jc w:val="left"/>
            </w:pPr>
            <w:r>
              <w:rPr>
                <w:rFonts w:ascii="Times New Roman" w:hAnsi="Times New Roman"/>
                <w:sz w:val="18"/>
              </w:rPr>
              <w:t>386.1</w:t>
            </w:r>
          </w:p>
        </w:tc>
        <w:tc>
          <w:tcPr>
            <w:tcW w:type="dxa" w:w="1152"/>
          </w:tcPr>
          <w:p>
            <w:pPr>
              <w:spacing w:before="40" w:after="40" w:line="252" w:lineRule="auto"/>
              <w:jc w:val="left"/>
            </w:pPr>
            <w:r>
              <w:rPr>
                <w:rFonts w:ascii="Times New Roman" w:hAnsi="Times New Roman"/>
                <w:sz w:val="18"/>
              </w:rPr>
              <w:t>No</w:t>
            </w:r>
          </w:p>
        </w:tc>
      </w:tr>
      <w:tr>
        <w:tc>
          <w:tcPr>
            <w:tcW w:type="dxa" w:w="1584"/>
            <w:shd w:fill="FAFAFA"/>
          </w:tcPr>
          <w:p>
            <w:pPr>
              <w:spacing w:before="40" w:after="40" w:line="252" w:lineRule="auto"/>
              <w:jc w:val="left"/>
            </w:pPr>
            <w:r>
              <w:rPr>
                <w:rFonts w:ascii="Times New Roman" w:hAnsi="Times New Roman"/>
                <w:sz w:val="18"/>
              </w:rPr>
              <w:t>Oil / Diesel</w:t>
            </w:r>
          </w:p>
        </w:tc>
        <w:tc>
          <w:tcPr>
            <w:tcW w:type="dxa" w:w="1584"/>
            <w:shd w:fill="FAFAFA"/>
          </w:tcPr>
          <w:p>
            <w:pPr>
              <w:spacing w:before="40" w:after="40" w:line="252" w:lineRule="auto"/>
              <w:jc w:val="left"/>
            </w:pPr>
            <w:r>
              <w:rPr>
                <w:rFonts w:ascii="Times New Roman" w:hAnsi="Times New Roman"/>
                <w:sz w:val="18"/>
              </w:rPr>
              <w:t>Other/Unknown</w:t>
            </w:r>
          </w:p>
        </w:tc>
        <w:tc>
          <w:tcPr>
            <w:tcW w:type="dxa" w:w="1584"/>
            <w:shd w:fill="FAFAFA"/>
          </w:tcPr>
          <w:p>
            <w:pPr>
              <w:spacing w:before="40" w:after="40" w:line="252" w:lineRule="auto"/>
              <w:jc w:val="left"/>
            </w:pPr>
            <w:r>
              <w:rPr>
                <w:rFonts w:ascii="Times New Roman" w:hAnsi="Times New Roman"/>
                <w:sz w:val="18"/>
              </w:rPr>
              <w:t>502.6</w:t>
            </w:r>
          </w:p>
        </w:tc>
        <w:tc>
          <w:tcPr>
            <w:tcW w:type="dxa" w:w="1152"/>
            <w:shd w:fill="FAFAFA"/>
          </w:tcPr>
          <w:p>
            <w:pPr>
              <w:spacing w:before="40" w:after="40" w:line="252" w:lineRule="auto"/>
              <w:jc w:val="left"/>
            </w:pPr>
            <w:r>
              <w:rPr>
                <w:rFonts w:ascii="Times New Roman" w:hAnsi="Times New Roman"/>
                <w:sz w:val="18"/>
              </w:rPr>
              <w:t>0.2864</w:t>
            </w:r>
          </w:p>
        </w:tc>
        <w:tc>
          <w:tcPr>
            <w:tcW w:type="dxa" w:w="1440"/>
            <w:shd w:fill="FAFAFA"/>
          </w:tcPr>
          <w:p>
            <w:pPr>
              <w:spacing w:before="40" w:after="40" w:line="252" w:lineRule="auto"/>
              <w:jc w:val="left"/>
            </w:pPr>
            <w:r>
              <w:rPr>
                <w:rFonts w:ascii="Times New Roman" w:hAnsi="Times New Roman"/>
                <w:sz w:val="18"/>
              </w:rPr>
              <w:t>-197.5</w:t>
            </w:r>
          </w:p>
        </w:tc>
        <w:tc>
          <w:tcPr>
            <w:tcW w:type="dxa" w:w="1440"/>
            <w:shd w:fill="FAFAFA"/>
          </w:tcPr>
          <w:p>
            <w:pPr>
              <w:spacing w:before="40" w:after="40" w:line="252" w:lineRule="auto"/>
              <w:jc w:val="left"/>
            </w:pPr>
            <w:r>
              <w:rPr>
                <w:rFonts w:ascii="Times New Roman" w:hAnsi="Times New Roman"/>
                <w:sz w:val="18"/>
              </w:rPr>
              <w:t>1,202.7</w:t>
            </w:r>
          </w:p>
        </w:tc>
        <w:tc>
          <w:tcPr>
            <w:tcW w:type="dxa" w:w="1152"/>
            <w:shd w:fill="FAFAFA"/>
          </w:tcPr>
          <w:p>
            <w:pPr>
              <w:spacing w:before="40" w:after="40" w:line="252" w:lineRule="auto"/>
              <w:jc w:val="left"/>
            </w:pPr>
            <w:r>
              <w:rPr>
                <w:rFonts w:ascii="Times New Roman" w:hAnsi="Times New Roman"/>
                <w:sz w:val="18"/>
              </w:rPr>
              <w:t>No</w:t>
            </w:r>
          </w:p>
        </w:tc>
      </w:tr>
    </w:tbl>
    <w:p>
      <w:pPr>
        <w:spacing w:before="60" w:after="240"/>
      </w:pPr>
      <w:r>
        <w:rPr>
          <w:rFonts w:ascii="Times New Roman" w:hAnsi="Times New Roman"/>
          <w:i/>
          <w:sz w:val="18"/>
        </w:rPr>
        <w:t xml:space="preserve">Note. </w:t>
      </w:r>
      <w:r>
        <w:rPr>
          <w:rFonts w:ascii="Times New Roman" w:hAnsi="Times New Roman"/>
          <w:sz w:val="18"/>
        </w:rPr>
        <w:t>Tukey HSD post-hoc contrasts on Max Hourly Heat Input Rate (mmBtu/hr) across primary fuel types (α = 0.05).</w:t>
      </w:r>
    </w:p>
    <w:p>
      <w:pPr>
        <w:keepNext/>
        <w:spacing w:before="240" w:after="120"/>
        <w:jc w:val="left"/>
      </w:pPr>
      <w:r>
        <w:rPr>
          <w:rFonts w:ascii="Times New Roman" w:hAnsi="Times New Roman"/>
          <w:b/>
          <w:color w:val="19375F"/>
          <w:sz w:val="24"/>
        </w:rPr>
        <w:t>Appendix D: PCA Eigenvectors and Feature Loadings (RQ4)</w:t>
      </w:r>
    </w:p>
    <w:p>
      <w:pPr>
        <w:spacing w:after="120" w:line="276" w:lineRule="auto"/>
        <w:jc w:val="left"/>
      </w:pPr>
      <w:r>
        <w:rPr>
          <w:rFonts w:ascii="Times New Roman" w:hAnsi="Times New Roman"/>
          <w:i w:val="0"/>
          <w:sz w:val="22"/>
        </w:rPr>
        <w:t>Table D1 displays the component loading vectors (eigenvectors) for the first two principal components derived from standardized operational variables, illustrating the orthogonal projection axes utilized in Figure 10.</w:t>
      </w:r>
    </w:p>
    <w:p>
      <w:pPr>
        <w:keepNext/>
        <w:spacing w:before="240" w:after="40"/>
      </w:pPr>
      <w:r>
        <w:rPr>
          <w:rFonts w:ascii="Times New Roman" w:hAnsi="Times New Roman"/>
          <w:b/>
          <w:sz w:val="22"/>
        </w:rPr>
        <w:t>Table D1</w:t>
      </w:r>
    </w:p>
    <w:p>
      <w:pPr>
        <w:keepNext/>
        <w:spacing w:before="0" w:after="120"/>
      </w:pPr>
      <w:r>
        <w:rPr>
          <w:rFonts w:ascii="Times New Roman" w:hAnsi="Times New Roman"/>
          <w:i/>
          <w:sz w:val="22"/>
        </w:rPr>
        <w:t>Principal Component Loadings and Dimensional Interpretations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2340"/>
        <w:gridCol w:w="2340"/>
        <w:gridCol w:w="2340"/>
        <w:gridCol w:w="2340"/>
      </w:tblGrid>
      <w:tr>
        <w:trPr>
          <w:tblHeader/>
        </w:trPr>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Standardized Feature</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PC1 Loading</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PC2 Loading</w:t>
            </w:r>
          </w:p>
        </w:tc>
        <w:tc>
          <w:tcPr>
            <w:tcW w:type="dxa" w:w="3888"/>
            <w:tcBorders>
              <w:bottom w:val="single" w:sz="12" w:space="0" w:color="000000"/>
            </w:tcBorders>
            <w:shd w:fill="F4F6F8"/>
          </w:tcPr>
          <w:p>
            <w:pPr>
              <w:spacing w:before="60" w:after="60" w:line="240" w:lineRule="auto"/>
              <w:jc w:val="center"/>
            </w:pPr>
            <w:r>
              <w:rPr>
                <w:rFonts w:ascii="Times New Roman" w:hAnsi="Times New Roman"/>
                <w:b/>
                <w:sz w:val="19"/>
              </w:rPr>
              <w:t>Dimensional Interpretation</w:t>
            </w:r>
          </w:p>
        </w:tc>
      </w:tr>
      <w:tr>
        <w:tc>
          <w:tcPr>
            <w:tcW w:type="dxa" w:w="2592"/>
          </w:tcPr>
          <w:p>
            <w:pPr>
              <w:spacing w:before="40" w:after="40" w:line="252" w:lineRule="auto"/>
              <w:jc w:val="left"/>
            </w:pPr>
            <w:r>
              <w:rPr>
                <w:rFonts w:ascii="Times New Roman" w:hAnsi="Times New Roman"/>
                <w:sz w:val="18"/>
              </w:rPr>
              <w:t>Log_Capacity (Nameplate MWe)</w:t>
            </w:r>
          </w:p>
        </w:tc>
        <w:tc>
          <w:tcPr>
            <w:tcW w:type="dxa" w:w="1440"/>
          </w:tcPr>
          <w:p>
            <w:pPr>
              <w:spacing w:before="40" w:after="40" w:line="252" w:lineRule="auto"/>
              <w:jc w:val="left"/>
            </w:pPr>
            <w:r>
              <w:rPr>
                <w:rFonts w:ascii="Times New Roman" w:hAnsi="Times New Roman"/>
                <w:sz w:val="18"/>
              </w:rPr>
              <w:t>0.6123</w:t>
            </w:r>
          </w:p>
        </w:tc>
        <w:tc>
          <w:tcPr>
            <w:tcW w:type="dxa" w:w="1440"/>
          </w:tcPr>
          <w:p>
            <w:pPr>
              <w:spacing w:before="40" w:after="40" w:line="252" w:lineRule="auto"/>
              <w:jc w:val="left"/>
            </w:pPr>
            <w:r>
              <w:rPr>
                <w:rFonts w:ascii="Times New Roman" w:hAnsi="Times New Roman"/>
                <w:sz w:val="18"/>
              </w:rPr>
              <w:t>-0.1366</w:t>
            </w:r>
          </w:p>
        </w:tc>
        <w:tc>
          <w:tcPr>
            <w:tcW w:type="dxa" w:w="3888"/>
          </w:tcPr>
          <w:p>
            <w:pPr>
              <w:spacing w:before="40" w:after="40" w:line="252" w:lineRule="auto"/>
              <w:jc w:val="left"/>
            </w:pPr>
            <w:r>
              <w:rPr>
                <w:rFonts w:ascii="Times New Roman" w:hAnsi="Times New Roman"/>
                <w:sz w:val="18"/>
              </w:rPr>
              <w:t>Dominant positive loading on PC1; measures overall physical generating scale.</w:t>
            </w:r>
          </w:p>
        </w:tc>
      </w:tr>
      <w:tr>
        <w:tc>
          <w:tcPr>
            <w:tcW w:type="dxa" w:w="2592"/>
            <w:shd w:fill="FAFAFA"/>
          </w:tcPr>
          <w:p>
            <w:pPr>
              <w:spacing w:before="40" w:after="40" w:line="252" w:lineRule="auto"/>
              <w:jc w:val="left"/>
            </w:pPr>
            <w:r>
              <w:rPr>
                <w:rFonts w:ascii="Times New Roman" w:hAnsi="Times New Roman"/>
                <w:sz w:val="18"/>
              </w:rPr>
              <w:t>Log_Heat_Input (mmBtu/hr)</w:t>
            </w:r>
          </w:p>
        </w:tc>
        <w:tc>
          <w:tcPr>
            <w:tcW w:type="dxa" w:w="1440"/>
            <w:shd w:fill="FAFAFA"/>
          </w:tcPr>
          <w:p>
            <w:pPr>
              <w:spacing w:before="40" w:after="40" w:line="252" w:lineRule="auto"/>
              <w:jc w:val="left"/>
            </w:pPr>
            <w:r>
              <w:rPr>
                <w:rFonts w:ascii="Times New Roman" w:hAnsi="Times New Roman"/>
                <w:sz w:val="18"/>
              </w:rPr>
              <w:t>0.6354</w:t>
            </w:r>
          </w:p>
        </w:tc>
        <w:tc>
          <w:tcPr>
            <w:tcW w:type="dxa" w:w="1440"/>
            <w:shd w:fill="FAFAFA"/>
          </w:tcPr>
          <w:p>
            <w:pPr>
              <w:spacing w:before="40" w:after="40" w:line="252" w:lineRule="auto"/>
              <w:jc w:val="left"/>
            </w:pPr>
            <w:r>
              <w:rPr>
                <w:rFonts w:ascii="Times New Roman" w:hAnsi="Times New Roman"/>
                <w:sz w:val="18"/>
              </w:rPr>
              <w:t>0.0177</w:t>
            </w:r>
          </w:p>
        </w:tc>
        <w:tc>
          <w:tcPr>
            <w:tcW w:type="dxa" w:w="3888"/>
            <w:shd w:fill="FAFAFA"/>
          </w:tcPr>
          <w:p>
            <w:pPr>
              <w:spacing w:before="40" w:after="40" w:line="252" w:lineRule="auto"/>
              <w:jc w:val="left"/>
            </w:pPr>
            <w:r>
              <w:rPr>
                <w:rFonts w:ascii="Times New Roman" w:hAnsi="Times New Roman"/>
                <w:sz w:val="18"/>
              </w:rPr>
              <w:t>Dominant positive loading on PC1; measures operational combustion loading.</w:t>
            </w:r>
          </w:p>
        </w:tc>
      </w:tr>
      <w:tr>
        <w:tc>
          <w:tcPr>
            <w:tcW w:type="dxa" w:w="2592"/>
          </w:tcPr>
          <w:p>
            <w:pPr>
              <w:spacing w:before="40" w:after="40" w:line="252" w:lineRule="auto"/>
              <w:jc w:val="left"/>
            </w:pPr>
            <w:r>
              <w:rPr>
                <w:rFonts w:ascii="Times New Roman" w:hAnsi="Times New Roman"/>
                <w:sz w:val="18"/>
              </w:rPr>
              <w:t>Unit_Age (Operating Vintage)</w:t>
            </w:r>
          </w:p>
        </w:tc>
        <w:tc>
          <w:tcPr>
            <w:tcW w:type="dxa" w:w="1440"/>
          </w:tcPr>
          <w:p>
            <w:pPr>
              <w:spacing w:before="40" w:after="40" w:line="252" w:lineRule="auto"/>
              <w:jc w:val="left"/>
            </w:pPr>
            <w:r>
              <w:rPr>
                <w:rFonts w:ascii="Times New Roman" w:hAnsi="Times New Roman"/>
                <w:sz w:val="18"/>
              </w:rPr>
              <w:t>-0.0219</w:t>
            </w:r>
          </w:p>
        </w:tc>
        <w:tc>
          <w:tcPr>
            <w:tcW w:type="dxa" w:w="1440"/>
          </w:tcPr>
          <w:p>
            <w:pPr>
              <w:spacing w:before="40" w:after="40" w:line="252" w:lineRule="auto"/>
              <w:jc w:val="left"/>
            </w:pPr>
            <w:r>
              <w:rPr>
                <w:rFonts w:ascii="Times New Roman" w:hAnsi="Times New Roman"/>
                <w:sz w:val="18"/>
              </w:rPr>
              <w:t>0.9702</w:t>
            </w:r>
          </w:p>
        </w:tc>
        <w:tc>
          <w:tcPr>
            <w:tcW w:type="dxa" w:w="3888"/>
          </w:tcPr>
          <w:p>
            <w:pPr>
              <w:spacing w:before="40" w:after="40" w:line="252" w:lineRule="auto"/>
              <w:jc w:val="left"/>
            </w:pPr>
            <w:r>
              <w:rPr>
                <w:rFonts w:ascii="Times New Roman" w:hAnsi="Times New Roman"/>
                <w:sz w:val="18"/>
              </w:rPr>
              <w:t>Primary loading on PC2; differentiates legacy assets from modern additions.</w:t>
            </w:r>
          </w:p>
        </w:tc>
      </w:tr>
      <w:tr>
        <w:tc>
          <w:tcPr>
            <w:tcW w:type="dxa" w:w="2592"/>
            <w:shd w:fill="FAFAFA"/>
          </w:tcPr>
          <w:p>
            <w:pPr>
              <w:spacing w:before="40" w:after="40" w:line="252" w:lineRule="auto"/>
              <w:jc w:val="left"/>
            </w:pPr>
            <w:r>
              <w:rPr>
                <w:rFonts w:ascii="Times New Roman" w:hAnsi="Times New Roman"/>
                <w:sz w:val="18"/>
              </w:rPr>
              <w:t>Control_Count (Abatement Systems)</w:t>
            </w:r>
          </w:p>
        </w:tc>
        <w:tc>
          <w:tcPr>
            <w:tcW w:type="dxa" w:w="1440"/>
            <w:shd w:fill="FAFAFA"/>
          </w:tcPr>
          <w:p>
            <w:pPr>
              <w:spacing w:before="40" w:after="40" w:line="252" w:lineRule="auto"/>
              <w:jc w:val="left"/>
            </w:pPr>
            <w:r>
              <w:rPr>
                <w:rFonts w:ascii="Times New Roman" w:hAnsi="Times New Roman"/>
                <w:sz w:val="18"/>
              </w:rPr>
              <w:t>0.4699</w:t>
            </w:r>
          </w:p>
        </w:tc>
        <w:tc>
          <w:tcPr>
            <w:tcW w:type="dxa" w:w="1440"/>
            <w:shd w:fill="FAFAFA"/>
          </w:tcPr>
          <w:p>
            <w:pPr>
              <w:spacing w:before="40" w:after="40" w:line="252" w:lineRule="auto"/>
              <w:jc w:val="left"/>
            </w:pPr>
            <w:r>
              <w:rPr>
                <w:rFonts w:ascii="Times New Roman" w:hAnsi="Times New Roman"/>
                <w:sz w:val="18"/>
              </w:rPr>
              <w:t>0.1992</w:t>
            </w:r>
          </w:p>
        </w:tc>
        <w:tc>
          <w:tcPr>
            <w:tcW w:type="dxa" w:w="3888"/>
            <w:shd w:fill="FAFAFA"/>
          </w:tcPr>
          <w:p>
            <w:pPr>
              <w:spacing w:before="40" w:after="40" w:line="252" w:lineRule="auto"/>
              <w:jc w:val="left"/>
            </w:pPr>
            <w:r>
              <w:rPr>
                <w:rFonts w:ascii="Times New Roman" w:hAnsi="Times New Roman"/>
                <w:sz w:val="18"/>
              </w:rPr>
              <w:t>Strong positive loading on PC2; captures compliance hardware density.</w:t>
            </w:r>
          </w:p>
        </w:tc>
      </w:tr>
    </w:tbl>
    <w:p>
      <w:pPr>
        <w:spacing w:before="60" w:after="240"/>
      </w:pPr>
      <w:r>
        <w:rPr>
          <w:rFonts w:ascii="Times New Roman" w:hAnsi="Times New Roman"/>
          <w:i/>
          <w:sz w:val="18"/>
        </w:rPr>
        <w:t xml:space="preserve">Note. </w:t>
      </w:r>
      <w:r>
        <w:rPr>
          <w:rFonts w:ascii="Times New Roman" w:hAnsi="Times New Roman"/>
          <w:sz w:val="18"/>
        </w:rPr>
        <w:t>Eigenvectors for PC1 (Explained Variance = 54.6%) and PC2 (Explained Variance = 25.6%).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Walsh College | QM640 Data Analytics Capstone | Dhananjay Verma (ID: 0291493)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INTERIM REPORT: EPA CLEAN AIR MARKETS PROGRAM</w:t>
      <w:tab/>
    </w:r>
    <w:r>
      <w:rPr>
        <w:rFonts w:ascii="Times New Roman" w:hAnsi="Times New Roman"/>
        <w:color w:val="3C3C3C"/>
        <w:sz w:val="18"/>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