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jc w:val="center"/>
      </w:pPr>
      <w:r>
        <w:rPr>
          <w:rFonts w:ascii="Times New Roman" w:hAnsi="Times New Roman"/>
          <w:b/>
          <w:color w:val="0F2240"/>
          <w:sz w:val="30"/>
        </w:rPr>
        <w:t>Data Analytics Capstone</w:t>
      </w:r>
    </w:p>
    <w:p>
      <w:pPr>
        <w:spacing w:after="480"/>
        <w:jc w:val="center"/>
      </w:pPr>
      <w:r>
        <w:rPr>
          <w:rFonts w:ascii="Times New Roman" w:hAnsi="Times New Roman"/>
          <w:b/>
          <w:color w:val="0F2240"/>
          <w:sz w:val="32"/>
        </w:rPr>
        <w:t>Empirical Modeling of Electric Power Generating Unit Attributes Under the U.S. EPA Clean Air Markets Program via Inferential and Machine Learning Frameworks</w:t>
      </w:r>
    </w:p>
    <w:p>
      <w:pPr>
        <w:spacing w:after="720"/>
        <w:jc w:val="center"/>
      </w:pPr>
      <w:r>
        <w:rPr>
          <w:rFonts w:ascii="Times New Roman" w:hAnsi="Times New Roman"/>
          <w:b/>
          <w:i/>
          <w:sz w:val="28"/>
        </w:rPr>
        <w:t>Final Report</w:t>
      </w:r>
    </w:p>
    <w:p>
      <w:pPr>
        <w:spacing w:after="120"/>
        <w:jc w:val="center"/>
      </w:pPr>
      <w:r>
        <w:rPr>
          <w:rFonts w:ascii="Times New Roman" w:hAnsi="Times New Roman"/>
          <w:b/>
          <w:sz w:val="24"/>
        </w:rPr>
        <w:t>Dhananjay Verma (Student ID: 0291493)</w:t>
      </w:r>
    </w:p>
    <w:p>
      <w:pPr>
        <w:spacing w:after="360"/>
        <w:jc w:val="center"/>
      </w:pPr>
      <w:r>
        <w:rPr>
          <w:rFonts w:ascii="Times New Roman" w:hAnsi="Times New Roman"/>
          <w:sz w:val="22"/>
        </w:rPr>
        <w:t>Walsh College</w:t>
        <w:br/>
        <w:t>Department of Quantitative Methods and Data Science</w:t>
      </w:r>
    </w:p>
    <w:p>
      <w:pPr>
        <w:spacing w:after="480"/>
        <w:jc w:val="center"/>
      </w:pPr>
      <w:r>
        <w:rPr>
          <w:rFonts w:ascii="Times New Roman" w:hAnsi="Times New Roman"/>
          <w:sz w:val="22"/>
        </w:rPr>
        <w:t>QM640 V1: Data Analytics Capstone</w:t>
        <w:br/>
        <w:t>Faculty Advisor: Dr. Javad Katibai</w:t>
        <w:br/>
        <w:t>Summer 2026 Academic Term</w:t>
        <w:br/>
        <w:t>October 15, 2026</w:t>
      </w:r>
    </w:p>
    <w:p>
      <w:r>
        <w:br w:type="page"/>
      </w:r>
    </w:p>
    <w:p>
      <w:pPr>
        <w:keepNext/>
        <w:spacing w:before="320" w:after="160"/>
        <w:jc w:val="center"/>
      </w:pPr>
      <w:r>
        <w:rPr>
          <w:rFonts w:ascii="Times New Roman" w:hAnsi="Times New Roman"/>
          <w:b/>
          <w:color w:val="0F2240"/>
          <w:sz w:val="28"/>
        </w:rPr>
        <w:t>GitHub Data Availability Statement &amp; Repository Architecture</w:t>
      </w:r>
    </w:p>
    <w:p>
      <w:pPr>
        <w:spacing w:after="120" w:line="276" w:lineRule="auto"/>
        <w:jc w:val="left"/>
      </w:pPr>
      <w:r>
        <w:rPr>
          <w:rFonts w:ascii="Times New Roman" w:hAnsi="Times New Roman"/>
          <w:i w:val="0"/>
          <w:sz w:val="22"/>
        </w:rPr>
        <w:t>To ensure complete computational transparency and empirical reproducibility, the raw federal regulatory dataset, engineered analytical feature matrices, executable Jupyter Notebook (.ipynb), Python scripts, JSON validation artifacts, and high-resolution graphical outputs associated with this research are hosted in the open-access GitHub repository under:</w:t>
      </w:r>
    </w:p>
    <w:p>
      <w:pPr>
        <w:spacing w:after="80" w:line="276" w:lineRule="auto"/>
        <w:jc w:val="left"/>
      </w:pPr>
      <w:r>
        <w:rPr>
          <w:rFonts w:ascii="Times New Roman" w:hAnsi="Times New Roman"/>
          <w:b/>
          <w:sz w:val="22"/>
        </w:rPr>
        <w:t xml:space="preserve">Project Repository: </w:t>
      </w:r>
      <w:r>
        <w:rPr>
          <w:rFonts w:ascii="Times New Roman" w:hAnsi="Times New Roman"/>
          <w:i w:val="0"/>
          <w:sz w:val="22"/>
        </w:rPr>
        <w:t>https://github.com/djmsritai-tech/QM640-Data-Analytics-Capstone</w:t>
      </w:r>
    </w:p>
    <w:p>
      <w:pPr>
        <w:spacing w:after="80" w:line="276" w:lineRule="auto"/>
        <w:jc w:val="left"/>
      </w:pPr>
      <w:r>
        <w:rPr>
          <w:rFonts w:ascii="Times New Roman" w:hAnsi="Times New Roman"/>
          <w:b/>
          <w:sz w:val="22"/>
        </w:rPr>
        <w:t xml:space="preserve">Raw data: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Processed/clean data: </w:t>
      </w:r>
      <w:r>
        <w:rPr>
          <w:rFonts w:ascii="Times New Roman" w:hAnsi="Times New Roman"/>
          <w:i w:val="0"/>
          <w:sz w:val="22"/>
        </w:rPr>
        <w:t>https://github.com/djmsritai-tech/QM640-Data-Analytics-Capstone/blob/main/data/processed/facility_clean_processed.csv</w:t>
      </w:r>
    </w:p>
    <w:p>
      <w:pPr>
        <w:spacing w:after="80" w:line="276" w:lineRule="auto"/>
        <w:jc w:val="left"/>
      </w:pPr>
      <w:r>
        <w:rPr>
          <w:rFonts w:ascii="Times New Roman" w:hAnsi="Times New Roman"/>
          <w:b/>
          <w:sz w:val="22"/>
        </w:rPr>
        <w:t xml:space="preserve">Code/notebooks: </w:t>
      </w:r>
      <w:r>
        <w:rPr>
          <w:rFonts w:ascii="Times New Roman" w:hAnsi="Times New Roman"/>
          <w:i w:val="0"/>
          <w:sz w:val="22"/>
        </w:rPr>
        <w:t>https://github.com/djmsritai-tech/QM640-Data-Analytics-Capstone/tree/main/scripts (and https://github.com/djmsritai-tech/QM640-Data-Analytics-Capstone/blob/main/QM640_Capstone_Analytics_Notebook_DhananjayVerma_0291493.ipynb)</w:t>
      </w:r>
    </w:p>
    <w:p>
      <w:pPr>
        <w:spacing w:after="200" w:line="276" w:lineRule="auto"/>
        <w:jc w:val="left"/>
      </w:pPr>
      <w:r>
        <w:rPr>
          <w:rFonts w:ascii="Times New Roman" w:hAnsi="Times New Roman"/>
          <w:b/>
          <w:sz w:val="22"/>
        </w:rPr>
        <w:t xml:space="preserve">Figure Directory: </w:t>
      </w:r>
      <w:r>
        <w:rPr>
          <w:rFonts w:ascii="Times New Roman" w:hAnsi="Times New Roman"/>
          <w:i w:val="0"/>
          <w:sz w:val="22"/>
        </w:rPr>
        <w:t>https://github.com/djmsritai-tech/QM640-Data-Analytics-Capstone/tree/main/outputs/figures (11 APA 7 publication-grade figures at 300 DPI)</w:t>
      </w:r>
    </w:p>
    <w:p>
      <w:pPr>
        <w:spacing w:before="120" w:after="160" w:line="276" w:lineRule="auto"/>
        <w:ind w:left="576" w:right="576"/>
      </w:pPr>
      <w:r>
        <w:rPr>
          <w:rFonts w:ascii="Times New Roman" w:hAnsi="Times New Roman"/>
          <w:b/>
          <w:color w:val="1E4678"/>
          <w:sz w:val="20"/>
        </w:rPr>
        <w:t>Repository Directory Architecture:</w:t>
        <w:br/>
      </w:r>
      <w:r>
        <w:rPr>
          <w:rFonts w:ascii="Times New Roman" w:hAnsi="Times New Roman"/>
          <w:i/>
          <w:sz w:val="20"/>
        </w:rPr>
        <w:t>QM640-Data-Analytics-Capstone/</w:t>
        <w:br/>
        <w:t>│</w:t>
        <w:br/>
        <w:t>├── data/</w:t>
        <w:br/>
        <w:t>│   ├── raw/</w:t>
        <w:br/>
        <w:t>│   │   └── facility-2025.csv             (Source EPA CAMPD archive: N = 4,050 units, 30 fields)</w:t>
        <w:br/>
        <w:t>│   └── processed/</w:t>
        <w:br/>
        <w:t>│       └── facility_clean_processed.csv  (Cleaned &amp; imputed analytical matrix: 4,050 units, 45 attributes)</w:t>
        <w:br/>
        <w:t>│</w:t>
        <w:br/>
        <w:t>├── scripts/</w:t>
        <w:br/>
        <w:t>│   ├── dhananjay_final_capston_report_analytics.py (Primary Python statistical, econometric &amp; ML engine)</w:t>
        <w:br/>
        <w:t>│   ├── build_full_interim_report.py                (Programmatic APA 7 Interim Report compiler)</w:t>
        <w:br/>
        <w:t>│   ├── build_full_final_report.py                  (Programmatic APA 7 Final Report compiler)</w:t>
        <w:br/>
        <w:t>│   └── QM640_Capstone_Analytics_Notebook_DhananjayVerma_0291493.ipynb (Interactive Jupyter Notebook)</w:t>
        <w:br/>
        <w:t>│</w:t>
        <w:br/>
        <w:t>├── outputs/</w:t>
        <w:br/>
        <w:t>│   ├── analytics_results.json            (Serialized JSON dictionary of model test outputs)</w:t>
        <w:br/>
        <w:t>│   └── figures/                          (11 high-resolution 300 DPI diagnostic charts)</w:t>
        <w:br/>
        <w:t>│       ├── figure0_system_architecture.png</w:t>
        <w:br/>
        <w:t>│       ├── figure1_fuel_emission_boxplot.png</w:t>
        <w:br/>
        <w:t>│       ├── figure2_unit_type_distribution.png</w:t>
        <w:br/>
        <w:t>│       ├── figure3_controls_by_fuel.png</w:t>
        <w:br/>
        <w:t>│       ├── figure4_correlation_heatmap.png</w:t>
        <w:br/>
        <w:t>│       ├── figure5_age_vs_heat_input_scatter.png</w:t>
        <w:br/>
        <w:t>│       ├── figure6_roc_curves.png</w:t>
        <w:br/>
        <w:t>│       ├── figure7_confusion_matrices.png</w:t>
        <w:br/>
        <w:t>│       ├── figure8_feature_importance.png</w:t>
        <w:br/>
        <w:t>│       ├── figure9_kmeans_elbow_silhouette.png</w:t>
        <w:br/>
        <w:t>│       └── figure10_pca_clusters.png</w:t>
        <w:br/>
        <w:t>│</w:t>
        <w:br/>
        <w:t>├── reports/</w:t>
        <w:br/>
        <w:t>│   ├── QM 640_Final_Report_DhananjayVerma-0291493.docx    (Compiled APA 7 Final Capstone Manuscript .docx)</w:t>
        <w:br/>
        <w:t>│   ├── QM 640_Final_Report_DhananjayVerma-0291493.pdf     (Compiled APA 7 Final Capstone Manuscript .pdf)</w:t>
        <w:br/>
        <w:t>│   ├── QM 640_Interim_Report_DhananjayVerma-0291493.docx  (Compiled APA 7 Interim Milestone Manuscript .docx)</w:t>
        <w:br/>
        <w:t>│   ├── QM 640_Interim_Report_DhananjayVerma-0291493.pdf   (Compiled APA 7 Interim Milestone Manuscript .pdf)</w:t>
        <w:br/>
        <w:t>│   └── QM640_Capstone_Synopsis_DhananjayVerma-0291493.docx (Approved Project Proposal Synopsis)</w:t>
        <w:br/>
        <w:t>│</w:t>
        <w:br/>
        <w:t>├── QM640_Capstone_Analytics_Notebook_DhananjayVerma_0291493.ipynb (Root-level Pre-Executed Notebook)</w:t>
        <w:br/>
        <w:t>├── requirements.txt                      (Pinned Python library dependencies)</w:t>
        <w:br/>
        <w:t>├── .gitignore                            (Version control exclusion specifications)</w:t>
        <w:br/>
        <w:t>└── README.md                             (Repository overview and reproduction guide)</w:t>
      </w:r>
    </w:p>
    <w:p>
      <w:pPr>
        <w:spacing w:before="120" w:after="160" w:line="276" w:lineRule="auto"/>
        <w:ind w:left="576" w:right="576"/>
      </w:pPr>
      <w:r>
        <w:rPr>
          <w:rFonts w:ascii="Times New Roman" w:hAnsi="Times New Roman"/>
          <w:b/>
          <w:color w:val="1E4678"/>
          <w:sz w:val="20"/>
        </w:rPr>
        <w:t xml:space="preserve">Autonomous Document Declaration: </w:t>
      </w:r>
      <w:r>
        <w:rPr>
          <w:rFonts w:ascii="Times New Roman" w:hAnsi="Times New Roman"/>
          <w:i/>
          <w:sz w:val="20"/>
        </w:rPr>
        <w:t>This Final Report is authored as a wholly self-contained scholarly treatise. Readers do not require access to prior project milestones to evaluate its methodology or conclusions. Every variable specification, mathematical equation, statistical power proof, architectural diagram, empirical finding, and software routine (Appendices A–D) is documented exhaustively within this volume.</w:t>
      </w:r>
    </w:p>
    <w:p>
      <w:pPr>
        <w:keepNext/>
        <w:spacing w:before="320" w:after="160"/>
        <w:jc w:val="center"/>
      </w:pPr>
      <w:r>
        <w:rPr>
          <w:rFonts w:ascii="Times New Roman" w:hAnsi="Times New Roman"/>
          <w:b/>
          <w:color w:val="0F2240"/>
          <w:sz w:val="28"/>
        </w:rPr>
        <w:t>Abstract</w:t>
      </w:r>
    </w:p>
    <w:p>
      <w:pPr>
        <w:spacing w:after="120" w:line="276" w:lineRule="auto"/>
        <w:jc w:val="left"/>
      </w:pPr>
      <w:r>
        <w:rPr>
          <w:rFonts w:ascii="Times New Roman" w:hAnsi="Times New Roman"/>
          <w:i w:val="0"/>
          <w:sz w:val="22"/>
        </w:rPr>
        <w:t>Grid-connected thermal electricity generators monitored under the United States Environmental Protection Agency (EPA) Clean Air Markets Program (CAMP) display substantial structural variation across burner heat input capacity, generator megawatt ratings, commercial age, and post-combustion emission controls. Conventional environmental oversight frequently depends on single-variable heuristics that overlook complex interactions linking thermodynamic cycle design, regulatory grandfathering, and scrubber retrofits. To resolve this analytical limitation, the present study constructs a four-stage quantitative modeling pipeline examining the entire 2025 EPA Clean Air Markets Program Data (CAMPD) facility registry, which encompasses N = 4,050 generating units situated across 1,328 power plants in 52 U.S. jurisdictions. Complete population retention (zero discarded rows) was achieved via regular-expression capacity extraction and technology-stratified median imputation. Four complementary analytical paradigms were deployed: (1) parametric One-Way Analysis of Variance (ANOVA) paired with non-parametric Kruskal-Wallis testing to quantify fuel-based thermal divergence; (2) supervised binary classification comparing Ridge Logistic Regression, Random Forest (150 estimators), and Gradient Boosting (100 estimators) across a stratified 80% training partition (N = 3,240 with 5-fold cross-validation) and a 20% holdout test partition (N = 810) to flag upper-quartile high-emission units (Max Hourly HI Rate &gt;= 2,350.0 mmBtu/hr); (3) bivariate and multivariate Ordinary Least Squares (OLS) econometric models isolating unit vintage effects from physical scale; and (4) unsupervised K-Means partitioning integrated with two-dimensional Principal Component Analysis (PCA). Empirical findings demonstrate that fuel class accounts for 34.91% of variance in thermal input (F = 542.36, p &lt; 0.0001; H = 783.02, p &lt; 0.0001), where coal boilers average 5,221.2 mmBtu/hr compared with 1,553.0 mmBtu/hr for natural gas turbines. On out-of-sample holdout testing, Gradient Boosting attained 96.54% accuracy, 94.44% precision, F1 = 0.9303, and ROC-AUC = 0.9865, whereas Random Forest delivered 93.14% recall (capturing 190 of 204 high emitters, ROC-AUC = 0.9851), markedly surpassing linear classification (89.14% accuracy, F1 = 0.8053). Multivariate OLS captured 76.68% of thermal variation (F = 4,435.0, p &lt; 0.0001), while K-Means uncovered k = 4 distinct fleet archetypes (Silhouette = 0.4431, PCA variance = 80.19%), pinpointing 414 legacy coal baseload units (86.0% high emitters) for prioritized regulatory audits.</w:t>
      </w:r>
    </w:p>
    <w:p>
      <w:pPr>
        <w:spacing w:after="60" w:line="276" w:lineRule="auto"/>
        <w:jc w:val="left"/>
      </w:pPr>
      <w:r>
        <w:rPr>
          <w:rFonts w:ascii="Times New Roman" w:hAnsi="Times New Roman"/>
          <w:b/>
          <w:sz w:val="22"/>
        </w:rPr>
        <w:t xml:space="preserve">Problem: </w:t>
      </w:r>
      <w:r>
        <w:rPr>
          <w:rFonts w:ascii="Times New Roman" w:hAnsi="Times New Roman"/>
          <w:i w:val="0"/>
          <w:sz w:val="22"/>
        </w:rPr>
        <w:t>Fossil-fuel electricity generating units exhibit multidimensional nonlinear relationships among boiler technology, fuel chemistry, vintage, and abatement hardware that simplistic univariate screening rules cannot accurately classify.</w:t>
      </w:r>
    </w:p>
    <w:p>
      <w:pPr>
        <w:spacing w:after="60" w:line="276" w:lineRule="auto"/>
        <w:jc w:val="left"/>
      </w:pPr>
      <w:r>
        <w:rPr>
          <w:rFonts w:ascii="Times New Roman" w:hAnsi="Times New Roman"/>
          <w:b/>
          <w:sz w:val="22"/>
        </w:rPr>
        <w:t xml:space="preserve">Solution Approach: </w:t>
      </w:r>
      <w:r>
        <w:rPr>
          <w:rFonts w:ascii="Times New Roman" w:hAnsi="Times New Roman"/>
          <w:i w:val="0"/>
          <w:sz w:val="22"/>
        </w:rPr>
        <w:t>A unified four-pillar quantitative architecture integrating parametric/rank variance testing (ANOVA, Kruskal-Wallis, Tukey HSD), ensemble supervised learning (Gradient Boosting, Random Forest, L2 Logistic Regression), multivariate OLS econometrics, and PCA-projected K-Means clustering.</w:t>
      </w:r>
    </w:p>
    <w:p>
      <w:pPr>
        <w:spacing w:after="60" w:line="276" w:lineRule="auto"/>
        <w:jc w:val="left"/>
      </w:pPr>
      <w:r>
        <w:rPr>
          <w:rFonts w:ascii="Times New Roman" w:hAnsi="Times New Roman"/>
          <w:b/>
          <w:sz w:val="22"/>
        </w:rPr>
        <w:t xml:space="preserve">Data: </w:t>
      </w:r>
      <w:r>
        <w:rPr>
          <w:rFonts w:ascii="Times New Roman" w:hAnsi="Times New Roman"/>
          <w:i w:val="0"/>
          <w:sz w:val="22"/>
        </w:rPr>
        <w:t>2025 U.S. EPA Clean Air Markets Program Data (CAMPD) bulk facility registry (facility-2025.csv) covering N = 4,050 generating units across 1,328 plants (30 raw fields expanded into 45 analytical attributes with 0% row loss).</w:t>
      </w:r>
    </w:p>
    <w:p>
      <w:pPr>
        <w:spacing w:after="60" w:line="276" w:lineRule="auto"/>
        <w:jc w:val="left"/>
      </w:pPr>
      <w:r>
        <w:rPr>
          <w:rFonts w:ascii="Times New Roman" w:hAnsi="Times New Roman"/>
          <w:b/>
          <w:sz w:val="22"/>
        </w:rPr>
        <w:t xml:space="preserve">Technology: </w:t>
      </w:r>
      <w:r>
        <w:rPr>
          <w:rFonts w:ascii="Times New Roman" w:hAnsi="Times New Roman"/>
          <w:i w:val="0"/>
          <w:sz w:val="22"/>
        </w:rPr>
        <w:t>Python 3.11 scientific computing ecosystem utilizing Pandas, NumPy, SciPy, Statsmodels, Scikit-Learn, Matplotlib, Seaborn, and Python-Docx.</w:t>
      </w:r>
    </w:p>
    <w:p>
      <w:pPr>
        <w:spacing w:after="60" w:line="276" w:lineRule="auto"/>
        <w:jc w:val="left"/>
      </w:pPr>
      <w:r>
        <w:rPr>
          <w:rFonts w:ascii="Times New Roman" w:hAnsi="Times New Roman"/>
          <w:b/>
          <w:sz w:val="22"/>
        </w:rPr>
        <w:t xml:space="preserve">Major Results: </w:t>
      </w:r>
      <w:r>
        <w:rPr>
          <w:rFonts w:ascii="Times New Roman" w:hAnsi="Times New Roman"/>
          <w:i w:val="0"/>
          <w:sz w:val="22"/>
        </w:rPr>
        <w:t>Gradient Boosting achieved 96.54% holdout accuracy, 94.44% precision, F1 = 0.9303, and ROC-AUC = 0.9865; Random Forest achieved 93.14% sensitivity (ROC-AUC = 0.9851); Multivariate OLS yielded R² = 0.7668; K-Means (k = 4) explained 80.19% 2D PCA variance.</w:t>
      </w:r>
    </w:p>
    <w:p>
      <w:pPr>
        <w:spacing w:after="240" w:line="276" w:lineRule="auto"/>
        <w:jc w:val="left"/>
      </w:pPr>
      <w:r>
        <w:rPr>
          <w:rFonts w:ascii="Times New Roman" w:hAnsi="Times New Roman"/>
          <w:b/>
          <w:sz w:val="22"/>
        </w:rPr>
        <w:t xml:space="preserve">Implementation Area: </w:t>
      </w:r>
      <w:r>
        <w:rPr>
          <w:rFonts w:ascii="Times New Roman" w:hAnsi="Times New Roman"/>
          <w:i w:val="0"/>
          <w:sz w:val="22"/>
        </w:rPr>
        <w:t>Automated compliance audit prioritization across EPA Regions 1–10, Continuous Emission Monitoring System (CEMS) verification scheduling, and utility coal-to-clean generation retirement planning.</w:t>
      </w:r>
    </w:p>
    <w:p>
      <w:r>
        <w:br w:type="page"/>
      </w:r>
    </w:p>
    <w:p>
      <w:pPr>
        <w:keepNext/>
        <w:spacing w:before="320" w:after="160"/>
        <w:jc w:val="center"/>
      </w:pPr>
      <w:r>
        <w:rPr>
          <w:rFonts w:ascii="Times New Roman" w:hAnsi="Times New Roman"/>
          <w:b/>
          <w:color w:val="0F2240"/>
          <w:sz w:val="28"/>
        </w:rPr>
        <w:t>1. Introduction</w:t>
      </w:r>
    </w:p>
    <w:p>
      <w:pPr>
        <w:keepNext/>
        <w:spacing w:before="240" w:after="120"/>
        <w:jc w:val="left"/>
      </w:pPr>
      <w:r>
        <w:rPr>
          <w:rFonts w:ascii="Times New Roman" w:hAnsi="Times New Roman"/>
          <w:b/>
          <w:color w:val="19375F"/>
          <w:sz w:val="24"/>
        </w:rPr>
        <w:t>Background and Context</w:t>
      </w:r>
    </w:p>
    <w:p>
      <w:pPr>
        <w:spacing w:after="120" w:line="276" w:lineRule="auto"/>
        <w:jc w:val="left"/>
      </w:pPr>
      <w:r>
        <w:rPr>
          <w:rFonts w:ascii="Times New Roman" w:hAnsi="Times New Roman"/>
          <w:i w:val="0"/>
          <w:sz w:val="22"/>
        </w:rPr>
        <w:t>Airborne emissions generated by utility-scale fossil-fuel power plants represent a central focus of environmental regulation, public health epidemiology, and electricity market design across the United States. Stationary steam boilers and combustion turbines burning coal, natural gas, distillate oil, and biomass supply the dispatchable capacity needed to stabilize the bulk power grid, yet their high-temperature oxidation processes release substantial quantities of sulfur dioxide (SO₂), nitrogen oxides (NOₓ), particulate matter (PM₂.₅ and PM₁₀), mercury (Hg), and carbon dioxide (CO₂). Once emitted into the boundary layer, SO₂ and NOₓ undergo photochemical and aqueous transformation into secondary particulate sulfates and nitrates, contributing to regional smog, watershed acidification, and cardiopulmonary hospitalization (Harrington et al., 2004; Burtraw et al., 2012).</w:t>
      </w:r>
    </w:p>
    <w:p>
      <w:pPr>
        <w:spacing w:after="120" w:line="276" w:lineRule="auto"/>
        <w:jc w:val="left"/>
      </w:pPr>
      <w:r>
        <w:rPr>
          <w:rFonts w:ascii="Times New Roman" w:hAnsi="Times New Roman"/>
          <w:i w:val="0"/>
          <w:sz w:val="22"/>
        </w:rPr>
        <w:t>To curb these negative externalities while preserving grid reliability, federal lawmakers and the U.S. Environmental Protection Agency (EPA) established a series of allowance-trading and performance-standard regimes under the Clean Air Act Amendments of 1990. Prominent among these initiatives are the Title IV Acid Rain Program (ARP), the Cross-State Air Pollution Rule (CSAPR), and the Mercury and Air Toxics Standards (MATS). Administration of these statutes relies on the EPA Clean Air Markets Program (CAMP), which compels regulated generating units to operate certified Continuous Emission Monitoring Systems (CEMS) under 40 CFR Part 75 (U.S. EPA, 2024). The resulting CAMPD repository tracks detailed engineering specifications for every monitored unit, including burner design, generator megawatt capacity, maximum hourly heat input rate, commercial startup date, fuel category, and installed pollution control equipment.</w:t>
      </w:r>
    </w:p>
    <w:p>
      <w:pPr>
        <w:spacing w:after="120" w:line="276" w:lineRule="auto"/>
        <w:jc w:val="left"/>
      </w:pPr>
      <w:r>
        <w:rPr>
          <w:rFonts w:ascii="Times New Roman" w:hAnsi="Times New Roman"/>
          <w:i w:val="0"/>
          <w:sz w:val="22"/>
        </w:rPr>
        <w:t>The empirical context of this investigation is the United States utility generating fleet operating in 2025. Economic competition from shale gas, declining wind and solar costs, and stringent air quality rules have reshaped the national fleet over the last twenty years (Schmalensee &amp; Stavins, 2017; Ellis et al., 2019). Consequently, today's grid comprises two contrasting operational tiers: a shrinking yet thermally massive cohort of pre-1985 coal-fired steam boilers equipped with complex post-combustion scrubbers, and a vast fleet of modern natural gas combined-cycle (NGCC) units and simple-cycle peaking turbines built after 2000. Surviving solid-fuel plants routinely combine wet or dry flue gas desulfurization (FGD), selective catalytic reduction (SCR), electrostatic precipitators (ESP) or baghouses, and activated carbon injection (ACI), producing strong structural couplings among unit age, megawatt scale, and abatement density.</w:t>
      </w:r>
    </w:p>
    <w:p>
      <w:pPr>
        <w:spacing w:after="120" w:line="276" w:lineRule="auto"/>
        <w:jc w:val="left"/>
      </w:pPr>
      <w:r>
        <w:rPr>
          <w:rFonts w:ascii="Times New Roman" w:hAnsi="Times New Roman"/>
          <w:i w:val="0"/>
          <w:sz w:val="22"/>
        </w:rPr>
        <w:t>Primary stakeholders operating within this domain include EPA regional enforcement officials (Regions 1–10), state air quality control boards, Independent System Operators (ISOs), utility asset managers, and energy transition researchers. These decision-makers require rigorous quantitative models capable of explaining thermal load dispersion, accurately flagging high-emission units for field inspection, and partitioning the 4,050-unit fleet into clear operational tiers to optimize audit budgets and guide orderly plant retirements.</w:t>
      </w:r>
    </w:p>
    <w:p>
      <w:pPr>
        <w:keepNext/>
        <w:spacing w:before="240" w:after="120"/>
        <w:jc w:val="left"/>
      </w:pPr>
      <w:r>
        <w:rPr>
          <w:rFonts w:ascii="Times New Roman" w:hAnsi="Times New Roman"/>
          <w:b/>
          <w:color w:val="19375F"/>
          <w:sz w:val="24"/>
        </w:rPr>
        <w:t>Problem Statement (Single, Measurable; Include Y and X)</w:t>
      </w:r>
    </w:p>
    <w:p>
      <w:pPr>
        <w:spacing w:after="160" w:line="276" w:lineRule="auto"/>
        <w:jc w:val="left"/>
      </w:pPr>
      <w:r>
        <w:rPr>
          <w:rFonts w:ascii="Times New Roman" w:hAnsi="Times New Roman"/>
          <w:b/>
          <w:sz w:val="22"/>
        </w:rPr>
        <w:t xml:space="preserve">Formal Measurable Problem Statement: </w:t>
      </w:r>
      <w:r>
        <w:rPr>
          <w:rFonts w:ascii="Times New Roman" w:hAnsi="Times New Roman"/>
          <w:i w:val="0"/>
          <w:sz w:val="22"/>
        </w:rPr>
        <w:t>This study seeks to model, predict, and cluster Y = maximum hourly thermal heat input capacity (Max Hourly HI Rate, expressed continuously in mmBtu/hr) alongside binary upper-quartile high-emission risk status (High_Emitter ∈ {0, 1}, triggered when Heat Input Rate &gt;= 2,350.0 mmBtu/hr) across N = 4,050 regulated power generating units located at 1,328 U.S. facilities, utilizing X = primary fuel classification, boiler/turbine technology, nameplate electrical capacity (Capacity_MW), operational vintage (Unit_Age), cumulative pollution control count (Control_Count), and EPA regional jurisdiction during the 2025 reporting cycle. Analytical performance is assessed via One-Way ANOVA F-ratios, Eta-squared (η²), and Kruskal-Wallis H-statistics for fuel divergence; out-of-sample Accuracy, Precision, Recall, F1-Score, and ROC-AUC on an 810-unit holdout set for supervised classification; R², Adjusted R², RMSE, and MAE for econometric regression; and Within-Cluster Sum of Squares (WCSS), Silhouette scores, and 2D PCA explained variance (%) for fleet segmentation.</w:t>
      </w:r>
    </w:p>
    <w:p>
      <w:pPr>
        <w:spacing w:after="120" w:line="276" w:lineRule="auto"/>
        <w:jc w:val="left"/>
      </w:pPr>
      <w:r>
        <w:rPr>
          <w:rFonts w:ascii="Times New Roman" w:hAnsi="Times New Roman"/>
          <w:i w:val="0"/>
          <w:sz w:val="22"/>
        </w:rPr>
        <w:t>Although the EPA publishes granular unit-level registries, regulatory compliance screening often relies on one-dimensional cutoffs that ignore how boiler thermodynamics, regulatory grandfathering, and scrubber retrofits interact. Without validated machine learning classifiers and multivariate cluster profiles, inspection resources can be misallocated toward low-risk peaking turbines while overlooking high-intensity intermediate steam units. Bridging this gap demands an integrated methodology uniting classical statistical inference, econometric regression, ensemble classification, and unsupervised clustering.</w:t>
      </w:r>
    </w:p>
    <w:p>
      <w:pPr>
        <w:keepNext/>
        <w:spacing w:before="240" w:after="120"/>
        <w:jc w:val="left"/>
      </w:pPr>
      <w:r>
        <w:rPr>
          <w:rFonts w:ascii="Times New Roman" w:hAnsi="Times New Roman"/>
          <w:b/>
          <w:color w:val="19375F"/>
          <w:sz w:val="24"/>
        </w:rPr>
        <w:t>Purpose of the Study</w:t>
      </w:r>
    </w:p>
    <w:p>
      <w:pPr>
        <w:spacing w:after="120" w:line="276" w:lineRule="auto"/>
        <w:jc w:val="left"/>
      </w:pPr>
      <w:r>
        <w:rPr>
          <w:rFonts w:ascii="Times New Roman" w:hAnsi="Times New Roman"/>
          <w:i w:val="0"/>
          <w:sz w:val="22"/>
        </w:rPr>
        <w:t>The objective of this capstone project is to construct and validate a four-tier quantitative analytics framework across all N = 4,050 generating units in the 2025 EPA CAMPD dataset. Specifically, the research is designed to: (1) quantify thermal heat input differences across primary fuel classes via parametric and non-parametric omnibus and post-hoc tests; (2) benchmark regularized linear and tree-ensemble classifiers (Logistic Regression, Random Forest, Gradient Boosting) to predict top-quartile high-emission units and isolate key feature importances; (3) estimate bivariate and multivariate OLS regressions that separate unit vintage effects from physical megawatt scale and abatement density; and (4) partition the national fleet into interpretable operational archetypes using K-Means clustering and PCA.</w:t>
      </w:r>
    </w:p>
    <w:p>
      <w:pPr>
        <w:keepNext/>
        <w:spacing w:before="240" w:after="120"/>
        <w:jc w:val="left"/>
      </w:pPr>
      <w:r>
        <w:rPr>
          <w:rFonts w:ascii="Times New Roman" w:hAnsi="Times New Roman"/>
          <w:b/>
          <w:color w:val="19375F"/>
          <w:sz w:val="24"/>
        </w:rPr>
        <w:t>Research Problems / Research Questions</w:t>
      </w:r>
    </w:p>
    <w:p>
      <w:pPr>
        <w:spacing w:after="120" w:line="276" w:lineRule="auto"/>
        <w:jc w:val="left"/>
      </w:pPr>
      <w:r>
        <w:rPr>
          <w:rFonts w:ascii="Times New Roman" w:hAnsi="Times New Roman"/>
          <w:i w:val="0"/>
          <w:sz w:val="22"/>
        </w:rPr>
        <w:t>Four formal research questions (RQ1–RQ4) guide the empirical investigation across the 4,050 generating units:</w:t>
      </w:r>
    </w:p>
    <w:p>
      <w:pPr>
        <w:spacing w:after="120" w:line="276" w:lineRule="auto"/>
        <w:jc w:val="left"/>
      </w:pPr>
      <w:r>
        <w:rPr>
          <w:rFonts w:ascii="Times New Roman" w:hAnsi="Times New Roman"/>
          <w:b/>
          <w:sz w:val="22"/>
        </w:rPr>
        <w:t xml:space="preserve">Research Question 1 (RQ1 — Fuel Variance Inference): </w:t>
      </w:r>
      <w:r>
        <w:rPr>
          <w:rFonts w:ascii="Times New Roman" w:hAnsi="Times New Roman"/>
          <w:i w:val="0"/>
          <w:sz w:val="22"/>
        </w:rPr>
        <w:t>To what extent do primary fuel categories (Coal, Natural Gas, Oil/Diesel, Biomass, Other) and combustion technologies drive statistically significant variation in maximum hourly heat input rates (mmBtu/hr), and what fraction of total fleet variance is explained by fuel type?</w:t>
      </w:r>
    </w:p>
    <w:p>
      <w:pPr>
        <w:spacing w:after="120" w:line="276" w:lineRule="auto"/>
        <w:jc w:val="left"/>
      </w:pPr>
      <w:r>
        <w:rPr>
          <w:rFonts w:ascii="Times New Roman" w:hAnsi="Times New Roman"/>
          <w:b/>
          <w:sz w:val="22"/>
        </w:rPr>
        <w:t xml:space="preserve">Research Question 2 (RQ2 — Supervised Emission Risk Classification): </w:t>
      </w:r>
      <w:r>
        <w:rPr>
          <w:rFonts w:ascii="Times New Roman" w:hAnsi="Times New Roman"/>
          <w:i w:val="0"/>
          <w:sz w:val="22"/>
        </w:rPr>
        <w:t>How effectively can supervised machine learning classifiers trained on unit-level engineering and regulatory features (Capacity_MW, Unit_Age, Control_Count, fuel class, boiler technology, and EPA region) identify top-quartile high-emission units (Heat Input &gt;= 2,350.0 mmBtu/hr) on unseen holdout data, and which attributes dominate predictive splitting?</w:t>
      </w:r>
    </w:p>
    <w:p>
      <w:pPr>
        <w:spacing w:after="120" w:line="276" w:lineRule="auto"/>
        <w:jc w:val="left"/>
      </w:pPr>
      <w:r>
        <w:rPr>
          <w:rFonts w:ascii="Times New Roman" w:hAnsi="Times New Roman"/>
          <w:b/>
          <w:sz w:val="22"/>
        </w:rPr>
        <w:t xml:space="preserve">Research Question 3 (RQ3 — Econometric Vintage &amp; Scale Analysis): </w:t>
      </w:r>
      <w:r>
        <w:rPr>
          <w:rFonts w:ascii="Times New Roman" w:hAnsi="Times New Roman"/>
          <w:i w:val="0"/>
          <w:sz w:val="22"/>
        </w:rPr>
        <w:t>How does generating unit age (years since commercial startup) relate to maximum hourly thermal heat input in unadjusted bivariate models versus multivariate econometric regressions that control for electrical nameplate capacity and installed pollution controls?</w:t>
      </w:r>
    </w:p>
    <w:p>
      <w:pPr>
        <w:spacing w:after="200" w:line="276" w:lineRule="auto"/>
        <w:jc w:val="left"/>
      </w:pPr>
      <w:r>
        <w:rPr>
          <w:rFonts w:ascii="Times New Roman" w:hAnsi="Times New Roman"/>
          <w:b/>
          <w:sz w:val="22"/>
        </w:rPr>
        <w:t xml:space="preserve">Research Question 4 (RQ4 — Unsupervised Fleet Taxonomy): </w:t>
      </w:r>
      <w:r>
        <w:rPr>
          <w:rFonts w:ascii="Times New Roman" w:hAnsi="Times New Roman"/>
          <w:i w:val="0"/>
          <w:sz w:val="22"/>
        </w:rPr>
        <w:t>Can unsupervised K-Means clustering and Principal Component Analysis (PCA) partition the 4,050-unit national fleet into cohesive, well-separated operational archetypes with distinct environmental compliance profiles?</w:t>
      </w:r>
    </w:p>
    <w:p>
      <w:pPr>
        <w:keepNext/>
        <w:spacing w:before="240" w:after="120"/>
        <w:jc w:val="left"/>
      </w:pPr>
      <w:r>
        <w:rPr>
          <w:rFonts w:ascii="Times New Roman" w:hAnsi="Times New Roman"/>
          <w:b/>
          <w:color w:val="19375F"/>
          <w:sz w:val="24"/>
        </w:rPr>
        <w:t>Contributions and Expected Value</w:t>
      </w:r>
    </w:p>
    <w:p>
      <w:pPr>
        <w:spacing w:after="120" w:line="276" w:lineRule="auto"/>
        <w:jc w:val="left"/>
      </w:pPr>
      <w:r>
        <w:rPr>
          <w:rFonts w:ascii="Times New Roman" w:hAnsi="Times New Roman"/>
          <w:b/>
          <w:sz w:val="22"/>
        </w:rPr>
        <w:t xml:space="preserve">Practical Contribution: </w:t>
      </w:r>
      <w:r>
        <w:rPr>
          <w:rFonts w:ascii="Times New Roman" w:hAnsi="Times New Roman"/>
          <w:i w:val="0"/>
          <w:sz w:val="22"/>
        </w:rPr>
        <w:t>Practically, this work provides an automated risk-scoring pipeline that allows regulatory agencies and utility engineers to replace manual spreadsheet reviews with probabilistic audit targeting, immediately pinpointing aging high-capacity units that warrant intensive CEMS verification or retirement evaluation.</w:t>
      </w:r>
    </w:p>
    <w:p>
      <w:pPr>
        <w:spacing w:after="120" w:line="276" w:lineRule="auto"/>
        <w:jc w:val="left"/>
      </w:pPr>
      <w:r>
        <w:rPr>
          <w:rFonts w:ascii="Times New Roman" w:hAnsi="Times New Roman"/>
          <w:b/>
          <w:sz w:val="22"/>
        </w:rPr>
        <w:t xml:space="preserve">Technical Contribution (Methods/Models): </w:t>
      </w:r>
      <w:r>
        <w:rPr>
          <w:rFonts w:ascii="Times New Roman" w:hAnsi="Times New Roman"/>
          <w:i w:val="0"/>
          <w:sz w:val="22"/>
        </w:rPr>
        <w:t>Technically, the study illustrates how combining parametric/rank ANOVA, stratified tree-ensemble classification (Random Forest and Gradient Boosting), multivariate OLS econometrics (resolving omitted-scale confounding), and log-standardized K-Means/PCA clustering within a zero-data-loss Python workflow yields comprehensive analytical insight.</w:t>
      </w:r>
    </w:p>
    <w:p>
      <w:pPr>
        <w:spacing w:after="240" w:line="276" w:lineRule="auto"/>
        <w:jc w:val="left"/>
      </w:pPr>
      <w:r>
        <w:rPr>
          <w:rFonts w:ascii="Times New Roman" w:hAnsi="Times New Roman"/>
          <w:b/>
          <w:sz w:val="22"/>
        </w:rPr>
        <w:t xml:space="preserve">Value to Stakeholders and Target Users: </w:t>
      </w:r>
      <w:r>
        <w:rPr>
          <w:rFonts w:ascii="Times New Roman" w:hAnsi="Times New Roman"/>
          <w:i w:val="0"/>
          <w:sz w:val="22"/>
        </w:rPr>
        <w:t>For EPA regional inspectors, the ensemble classifiers deliver 94.44% precision (Gradient Boosting) and 93.14% recall (Random Forest), minimizing wasted field inspections while capturing over 93% of true high emitters. For utility resource planners, the k = 4 cluster taxonomy establishes empirical benchmarks for fleet modernization.</w:t>
      </w:r>
    </w:p>
    <w:p>
      <w:pPr>
        <w:keepNext/>
        <w:spacing w:before="320" w:after="160"/>
        <w:jc w:val="center"/>
      </w:pPr>
      <w:r>
        <w:rPr>
          <w:rFonts w:ascii="Times New Roman" w:hAnsi="Times New Roman"/>
          <w:b/>
          <w:color w:val="0F2240"/>
          <w:sz w:val="28"/>
        </w:rPr>
        <w:t>2. Literature Review</w:t>
      </w:r>
    </w:p>
    <w:p>
      <w:pPr>
        <w:keepNext/>
        <w:spacing w:before="240" w:after="120"/>
        <w:jc w:val="left"/>
      </w:pPr>
      <w:r>
        <w:rPr>
          <w:rFonts w:ascii="Times New Roman" w:hAnsi="Times New Roman"/>
          <w:b/>
          <w:color w:val="19375F"/>
          <w:sz w:val="24"/>
        </w:rPr>
        <w:t>Literature Review Approach</w:t>
      </w:r>
    </w:p>
    <w:p>
      <w:pPr>
        <w:spacing w:after="120" w:line="276" w:lineRule="auto"/>
        <w:jc w:val="left"/>
      </w:pPr>
      <w:r>
        <w:rPr>
          <w:rFonts w:ascii="Times New Roman" w:hAnsi="Times New Roman"/>
          <w:i w:val="0"/>
          <w:sz w:val="22"/>
        </w:rPr>
        <w:t>To anchor our hypotheses, variable definitions, and modeling choices in peer-reviewed theory, a structured bibliographic search was executed across major scientific repositories—including IEEE Xplore, Elsevier ScienceDirect, JSTOR, SpringerLink, the Journal of the American Statistical Association archive, and Google Scholar—supplemented by federal regulatory manuals from the U.S. EPA. Query logic paired domain descriptors with quantitative algorithm terms: ('Clean Air Markets' OR 'Acid Rain Program' OR '40 CFR Part 75' OR 'power plant emissions') combined with ('thermal heat input' OR 'unit vintage' OR 'scrubber retrofits') and ('analysis of variance' OR 'rank-sum tests' OR 'tree ensembles' OR 'OLS econometrics' OR 'unsupervised clustering').</w:t>
      </w:r>
    </w:p>
    <w:p>
      <w:pPr>
        <w:spacing w:after="120" w:line="276" w:lineRule="auto"/>
        <w:jc w:val="left"/>
      </w:pPr>
      <w:r>
        <w:rPr>
          <w:rFonts w:ascii="Times New Roman" w:hAnsi="Times New Roman"/>
          <w:i w:val="0"/>
          <w:sz w:val="22"/>
        </w:rPr>
        <w:t>Selection rules required candidate publications to represent either: (1) empirical energy-policy investigations analyzing unit-level power plant compliance under emissions trading; (2) seminal statistical and machine learning works proving the mathematical properties of ANOVA, Kruskal-Wallis, Random Forests, Gradient Boosting, OLS, and K-Means; or (3) official federal CEMS reporting specifications. Works limited to automotive transport emissions or aggregate global climate projections lacking plant-level resolution were omitted, yielding 14 core references mapped across RQ1–RQ4.</w:t>
      </w:r>
    </w:p>
    <w:p>
      <w:pPr>
        <w:keepNext/>
        <w:spacing w:before="240" w:after="120"/>
        <w:jc w:val="left"/>
      </w:pPr>
      <w:r>
        <w:rPr>
          <w:rFonts w:ascii="Times New Roman" w:hAnsi="Times New Roman"/>
          <w:b/>
          <w:color w:val="19375F"/>
          <w:sz w:val="24"/>
        </w:rPr>
        <w:t>Summary of Key Literature (14 Foundational Sources)</w:t>
      </w:r>
    </w:p>
    <w:p>
      <w:pPr>
        <w:spacing w:after="120" w:line="276" w:lineRule="auto"/>
        <w:jc w:val="left"/>
      </w:pPr>
      <w:r>
        <w:rPr>
          <w:rFonts w:ascii="Times New Roman" w:hAnsi="Times New Roman"/>
          <w:i w:val="0"/>
          <w:sz w:val="22"/>
        </w:rPr>
        <w:t>Table 1 presents the comprehensive Literature Relevance Matrix, detailing for each of the 14 sources the author(s) and publication year, domain and context, dataset or analytical setting, statistical and machine learning methods, primary empirical or theoretical findings, and explicit support for our research questions and modeling decisions.</w:t>
      </w:r>
    </w:p>
    <w:p>
      <w:pPr>
        <w:keepNext/>
        <w:spacing w:before="240" w:after="40"/>
      </w:pPr>
      <w:r>
        <w:rPr>
          <w:rFonts w:ascii="Times New Roman" w:hAnsi="Times New Roman"/>
          <w:b/>
          <w:sz w:val="22"/>
        </w:rPr>
        <w:t>Table 1</w:t>
      </w:r>
    </w:p>
    <w:p>
      <w:pPr>
        <w:keepNext/>
        <w:spacing w:before="0" w:after="120"/>
      </w:pPr>
      <w:r>
        <w:rPr>
          <w:rFonts w:ascii="Times New Roman" w:hAnsi="Times New Roman"/>
          <w:i/>
          <w:sz w:val="22"/>
        </w:rPr>
        <w:t>Literature Relevance Matrix</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Author (Year)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Domain/Context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Dataset/Setting</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Method(s)</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Key Findings</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How it supports RQ(s) / project decisions</w:t>
            </w:r>
          </w:p>
        </w:tc>
      </w:tr>
      <w:tr>
        <w:tc>
          <w:tcPr>
            <w:tcW w:type="dxa" w:w="1584"/>
          </w:tcPr>
          <w:p>
            <w:pPr>
              <w:spacing w:before="40" w:after="40" w:line="252" w:lineRule="auto"/>
              <w:jc w:val="left"/>
            </w:pPr>
            <w:r>
              <w:rPr>
                <w:rFonts w:ascii="Times New Roman" w:hAnsi="Times New Roman"/>
                <w:sz w:val="18"/>
              </w:rPr>
              <w:t>U.S. EPA (2024)</w:t>
            </w:r>
          </w:p>
        </w:tc>
        <w:tc>
          <w:tcPr>
            <w:tcW w:type="dxa" w:w="1440"/>
          </w:tcPr>
          <w:p>
            <w:pPr>
              <w:spacing w:before="40" w:after="40" w:line="252" w:lineRule="auto"/>
              <w:jc w:val="left"/>
            </w:pPr>
            <w:r>
              <w:rPr>
                <w:rFonts w:ascii="Times New Roman" w:hAnsi="Times New Roman"/>
                <w:sz w:val="18"/>
              </w:rPr>
              <w:t>Federal Environmental Regulation</w:t>
            </w:r>
          </w:p>
        </w:tc>
        <w:tc>
          <w:tcPr>
            <w:tcW w:type="dxa" w:w="1440"/>
          </w:tcPr>
          <w:p>
            <w:pPr>
              <w:spacing w:before="40" w:after="40" w:line="252" w:lineRule="auto"/>
              <w:jc w:val="left"/>
            </w:pPr>
            <w:r>
              <w:rPr>
                <w:rFonts w:ascii="Times New Roman" w:hAnsi="Times New Roman"/>
                <w:sz w:val="18"/>
              </w:rPr>
              <w:t>CAMPD Bulk Data Files (4,050 U.S. units, 2025)</w:t>
            </w:r>
          </w:p>
        </w:tc>
        <w:tc>
          <w:tcPr>
            <w:tcW w:type="dxa" w:w="1584"/>
          </w:tcPr>
          <w:p>
            <w:pPr>
              <w:spacing w:before="40" w:after="40" w:line="252" w:lineRule="auto"/>
              <w:jc w:val="left"/>
            </w:pPr>
            <w:r>
              <w:rPr>
                <w:rFonts w:ascii="Times New Roman" w:hAnsi="Times New Roman"/>
                <w:sz w:val="18"/>
              </w:rPr>
              <w:t>Continuous Emission Monitoring (40 CFR Part 75)</w:t>
            </w:r>
          </w:p>
        </w:tc>
        <w:tc>
          <w:tcPr>
            <w:tcW w:type="dxa" w:w="1872"/>
          </w:tcPr>
          <w:p>
            <w:pPr>
              <w:spacing w:before="40" w:after="40" w:line="252" w:lineRule="auto"/>
              <w:jc w:val="left"/>
            </w:pPr>
            <w:r>
              <w:rPr>
                <w:rFonts w:ascii="Times New Roman" w:hAnsi="Times New Roman"/>
                <w:sz w:val="18"/>
              </w:rPr>
              <w:t>Establishes standardized unit-level reporting for heat input, capacity, fuel, and abatement controls.</w:t>
            </w:r>
          </w:p>
        </w:tc>
        <w:tc>
          <w:tcPr>
            <w:tcW w:type="dxa" w:w="2160"/>
          </w:tcPr>
          <w:p>
            <w:pPr>
              <w:spacing w:before="40" w:after="40" w:line="252" w:lineRule="auto"/>
              <w:jc w:val="left"/>
            </w:pPr>
            <w:r>
              <w:rPr>
                <w:rFonts w:ascii="Times New Roman" w:hAnsi="Times New Roman"/>
                <w:sz w:val="18"/>
              </w:rPr>
              <w:t>Primary data source and schema foundation for all variables across RQ1–RQ4.</w:t>
            </w:r>
          </w:p>
        </w:tc>
      </w:tr>
      <w:tr>
        <w:tc>
          <w:tcPr>
            <w:tcW w:type="dxa" w:w="1584"/>
            <w:shd w:fill="FAFAFA"/>
          </w:tcPr>
          <w:p>
            <w:pPr>
              <w:spacing w:before="40" w:after="40" w:line="252" w:lineRule="auto"/>
              <w:jc w:val="left"/>
            </w:pPr>
            <w:r>
              <w:rPr>
                <w:rFonts w:ascii="Times New Roman" w:hAnsi="Times New Roman"/>
                <w:sz w:val="18"/>
              </w:rPr>
              <w:t>Ellis et al. (2019)</w:t>
            </w:r>
          </w:p>
        </w:tc>
        <w:tc>
          <w:tcPr>
            <w:tcW w:type="dxa" w:w="1440"/>
            <w:shd w:fill="FAFAFA"/>
          </w:tcPr>
          <w:p>
            <w:pPr>
              <w:spacing w:before="40" w:after="40" w:line="252" w:lineRule="auto"/>
              <w:jc w:val="left"/>
            </w:pPr>
            <w:r>
              <w:rPr>
                <w:rFonts w:ascii="Times New Roman" w:hAnsi="Times New Roman"/>
                <w:sz w:val="18"/>
              </w:rPr>
              <w:t>Energy Policy &amp; Emissions Trading</w:t>
            </w:r>
          </w:p>
        </w:tc>
        <w:tc>
          <w:tcPr>
            <w:tcW w:type="dxa" w:w="1440"/>
            <w:shd w:fill="FAFAFA"/>
          </w:tcPr>
          <w:p>
            <w:pPr>
              <w:spacing w:before="40" w:after="40" w:line="252" w:lineRule="auto"/>
              <w:jc w:val="left"/>
            </w:pPr>
            <w:r>
              <w:rPr>
                <w:rFonts w:ascii="Times New Roman" w:hAnsi="Times New Roman"/>
                <w:sz w:val="18"/>
              </w:rPr>
              <w:t>U.S. Fossil-Fuel Power Fleet (CAMPD)</w:t>
            </w:r>
          </w:p>
        </w:tc>
        <w:tc>
          <w:tcPr>
            <w:tcW w:type="dxa" w:w="1584"/>
            <w:shd w:fill="FAFAFA"/>
          </w:tcPr>
          <w:p>
            <w:pPr>
              <w:spacing w:before="40" w:after="40" w:line="252" w:lineRule="auto"/>
              <w:jc w:val="left"/>
            </w:pPr>
            <w:r>
              <w:rPr>
                <w:rFonts w:ascii="Times New Roman" w:hAnsi="Times New Roman"/>
                <w:sz w:val="18"/>
              </w:rPr>
              <w:t>Econometric Panel &amp; Policy Evaluation</w:t>
            </w:r>
          </w:p>
        </w:tc>
        <w:tc>
          <w:tcPr>
            <w:tcW w:type="dxa" w:w="1872"/>
            <w:shd w:fill="FAFAFA"/>
          </w:tcPr>
          <w:p>
            <w:pPr>
              <w:spacing w:before="40" w:after="40" w:line="252" w:lineRule="auto"/>
              <w:jc w:val="left"/>
            </w:pPr>
            <w:r>
              <w:rPr>
                <w:rFonts w:ascii="Times New Roman" w:hAnsi="Times New Roman"/>
                <w:sz w:val="18"/>
              </w:rPr>
              <w:t>Market-based trading induced rapid coal-to-gas switching and concentrated emissions in legacy baseload units.</w:t>
            </w:r>
          </w:p>
        </w:tc>
        <w:tc>
          <w:tcPr>
            <w:tcW w:type="dxa" w:w="2160"/>
            <w:shd w:fill="FAFAFA"/>
          </w:tcPr>
          <w:p>
            <w:pPr>
              <w:spacing w:before="40" w:after="40" w:line="252" w:lineRule="auto"/>
              <w:jc w:val="left"/>
            </w:pPr>
            <w:r>
              <w:rPr>
                <w:rFonts w:ascii="Times New Roman" w:hAnsi="Times New Roman"/>
                <w:sz w:val="18"/>
              </w:rPr>
              <w:t>Motivates RQ1 fuel comparisons and RQ2 high-emitter predictive features.</w:t>
            </w:r>
          </w:p>
        </w:tc>
      </w:tr>
      <w:tr>
        <w:tc>
          <w:tcPr>
            <w:tcW w:type="dxa" w:w="1584"/>
          </w:tcPr>
          <w:p>
            <w:pPr>
              <w:spacing w:before="40" w:after="40" w:line="252" w:lineRule="auto"/>
              <w:jc w:val="left"/>
            </w:pPr>
            <w:r>
              <w:rPr>
                <w:rFonts w:ascii="Times New Roman" w:hAnsi="Times New Roman"/>
                <w:sz w:val="18"/>
              </w:rPr>
              <w:t>Schmalensee &amp; Stavins (2017)</w:t>
            </w:r>
          </w:p>
        </w:tc>
        <w:tc>
          <w:tcPr>
            <w:tcW w:type="dxa" w:w="1440"/>
          </w:tcPr>
          <w:p>
            <w:pPr>
              <w:spacing w:before="40" w:after="40" w:line="252" w:lineRule="auto"/>
              <w:jc w:val="left"/>
            </w:pPr>
            <w:r>
              <w:rPr>
                <w:rFonts w:ascii="Times New Roman" w:hAnsi="Times New Roman"/>
                <w:sz w:val="18"/>
              </w:rPr>
              <w:t>Environmental Economics</w:t>
            </w:r>
          </w:p>
        </w:tc>
        <w:tc>
          <w:tcPr>
            <w:tcW w:type="dxa" w:w="1440"/>
          </w:tcPr>
          <w:p>
            <w:pPr>
              <w:spacing w:before="40" w:after="40" w:line="252" w:lineRule="auto"/>
              <w:jc w:val="left"/>
            </w:pPr>
            <w:r>
              <w:rPr>
                <w:rFonts w:ascii="Times New Roman" w:hAnsi="Times New Roman"/>
                <w:sz w:val="18"/>
              </w:rPr>
              <w:t>30-Year Cap-and-Trade Retrospective</w:t>
            </w:r>
          </w:p>
        </w:tc>
        <w:tc>
          <w:tcPr>
            <w:tcW w:type="dxa" w:w="1584"/>
          </w:tcPr>
          <w:p>
            <w:pPr>
              <w:spacing w:before="40" w:after="40" w:line="252" w:lineRule="auto"/>
              <w:jc w:val="left"/>
            </w:pPr>
            <w:r>
              <w:rPr>
                <w:rFonts w:ascii="Times New Roman" w:hAnsi="Times New Roman"/>
                <w:sz w:val="18"/>
              </w:rPr>
              <w:t>Economic Cost-Benefit &amp; Institutional Analysis</w:t>
            </w:r>
          </w:p>
        </w:tc>
        <w:tc>
          <w:tcPr>
            <w:tcW w:type="dxa" w:w="1872"/>
          </w:tcPr>
          <w:p>
            <w:pPr>
              <w:spacing w:before="40" w:after="40" w:line="252" w:lineRule="auto"/>
              <w:jc w:val="left"/>
            </w:pPr>
            <w:r>
              <w:rPr>
                <w:rFonts w:ascii="Times New Roman" w:hAnsi="Times New Roman"/>
                <w:sz w:val="18"/>
              </w:rPr>
              <w:t>Allowance trading reduced SO2 and NOx compliance costs by 40–60% vs command-and-control mandates.</w:t>
            </w:r>
          </w:p>
        </w:tc>
        <w:tc>
          <w:tcPr>
            <w:tcW w:type="dxa" w:w="2160"/>
          </w:tcPr>
          <w:p>
            <w:pPr>
              <w:spacing w:before="40" w:after="40" w:line="252" w:lineRule="auto"/>
              <w:jc w:val="left"/>
            </w:pPr>
            <w:r>
              <w:rPr>
                <w:rFonts w:ascii="Times New Roman" w:hAnsi="Times New Roman"/>
                <w:sz w:val="18"/>
              </w:rPr>
              <w:t>Justifies encoding regulatory program participation and control counts in RQ2 &amp; RQ3.</w:t>
            </w:r>
          </w:p>
        </w:tc>
      </w:tr>
      <w:tr>
        <w:tc>
          <w:tcPr>
            <w:tcW w:type="dxa" w:w="1584"/>
            <w:shd w:fill="FAFAFA"/>
          </w:tcPr>
          <w:p>
            <w:pPr>
              <w:spacing w:before="40" w:after="40" w:line="252" w:lineRule="auto"/>
              <w:jc w:val="left"/>
            </w:pPr>
            <w:r>
              <w:rPr>
                <w:rFonts w:ascii="Times New Roman" w:hAnsi="Times New Roman"/>
                <w:sz w:val="18"/>
              </w:rPr>
              <w:t>Burtraw et al. (2012)</w:t>
            </w:r>
          </w:p>
        </w:tc>
        <w:tc>
          <w:tcPr>
            <w:tcW w:type="dxa" w:w="1440"/>
            <w:shd w:fill="FAFAFA"/>
          </w:tcPr>
          <w:p>
            <w:pPr>
              <w:spacing w:before="40" w:after="40" w:line="252" w:lineRule="auto"/>
              <w:jc w:val="left"/>
            </w:pPr>
            <w:r>
              <w:rPr>
                <w:rFonts w:ascii="Times New Roman" w:hAnsi="Times New Roman"/>
                <w:sz w:val="18"/>
              </w:rPr>
              <w:t>Electricity Grid &amp; Carbon Policy</w:t>
            </w:r>
          </w:p>
        </w:tc>
        <w:tc>
          <w:tcPr>
            <w:tcW w:type="dxa" w:w="1440"/>
            <w:shd w:fill="FAFAFA"/>
          </w:tcPr>
          <w:p>
            <w:pPr>
              <w:spacing w:before="40" w:after="40" w:line="252" w:lineRule="auto"/>
              <w:jc w:val="left"/>
            </w:pPr>
            <w:r>
              <w:rPr>
                <w:rFonts w:ascii="Times New Roman" w:hAnsi="Times New Roman"/>
                <w:sz w:val="18"/>
              </w:rPr>
              <w:t>National Electric Reliability Council Regions</w:t>
            </w:r>
          </w:p>
        </w:tc>
        <w:tc>
          <w:tcPr>
            <w:tcW w:type="dxa" w:w="1584"/>
            <w:shd w:fill="FAFAFA"/>
          </w:tcPr>
          <w:p>
            <w:pPr>
              <w:spacing w:before="40" w:after="40" w:line="252" w:lineRule="auto"/>
              <w:jc w:val="left"/>
            </w:pPr>
            <w:r>
              <w:rPr>
                <w:rFonts w:ascii="Times New Roman" w:hAnsi="Times New Roman"/>
                <w:sz w:val="18"/>
              </w:rPr>
              <w:t>Capacity Expansion &amp; Dispatch Simulation</w:t>
            </w:r>
          </w:p>
        </w:tc>
        <w:tc>
          <w:tcPr>
            <w:tcW w:type="dxa" w:w="1872"/>
            <w:shd w:fill="FAFAFA"/>
          </w:tcPr>
          <w:p>
            <w:pPr>
              <w:spacing w:before="40" w:after="40" w:line="252" w:lineRule="auto"/>
              <w:jc w:val="left"/>
            </w:pPr>
            <w:r>
              <w:rPr>
                <w:rFonts w:ascii="Times New Roman" w:hAnsi="Times New Roman"/>
                <w:sz w:val="18"/>
              </w:rPr>
              <w:t>Unit vintage, thermal heat rate, and scrubber retrofits govern plant retirement vs continued baseload operation.</w:t>
            </w:r>
          </w:p>
        </w:tc>
        <w:tc>
          <w:tcPr>
            <w:tcW w:type="dxa" w:w="2160"/>
            <w:shd w:fill="FAFAFA"/>
          </w:tcPr>
          <w:p>
            <w:pPr>
              <w:spacing w:before="40" w:after="40" w:line="252" w:lineRule="auto"/>
              <w:jc w:val="left"/>
            </w:pPr>
            <w:r>
              <w:rPr>
                <w:rFonts w:ascii="Times New Roman" w:hAnsi="Times New Roman"/>
                <w:sz w:val="18"/>
              </w:rPr>
              <w:t>Directly supports RQ3 age-intensity regression and RQ4 fleet archetype clustering.</w:t>
            </w:r>
          </w:p>
        </w:tc>
      </w:tr>
      <w:tr>
        <w:tc>
          <w:tcPr>
            <w:tcW w:type="dxa" w:w="1584"/>
          </w:tcPr>
          <w:p>
            <w:pPr>
              <w:spacing w:before="40" w:after="40" w:line="252" w:lineRule="auto"/>
              <w:jc w:val="left"/>
            </w:pPr>
            <w:r>
              <w:rPr>
                <w:rFonts w:ascii="Times New Roman" w:hAnsi="Times New Roman"/>
                <w:sz w:val="18"/>
              </w:rPr>
              <w:t>Harrington et al. (2004)</w:t>
            </w:r>
          </w:p>
        </w:tc>
        <w:tc>
          <w:tcPr>
            <w:tcW w:type="dxa" w:w="1440"/>
          </w:tcPr>
          <w:p>
            <w:pPr>
              <w:spacing w:before="40" w:after="40" w:line="252" w:lineRule="auto"/>
              <w:jc w:val="left"/>
            </w:pPr>
            <w:r>
              <w:rPr>
                <w:rFonts w:ascii="Times New Roman" w:hAnsi="Times New Roman"/>
                <w:sz w:val="18"/>
              </w:rPr>
              <w:t>Regulatory Instrument Design</w:t>
            </w:r>
          </w:p>
        </w:tc>
        <w:tc>
          <w:tcPr>
            <w:tcW w:type="dxa" w:w="1440"/>
          </w:tcPr>
          <w:p>
            <w:pPr>
              <w:spacing w:before="40" w:after="40" w:line="252" w:lineRule="auto"/>
              <w:jc w:val="left"/>
            </w:pPr>
            <w:r>
              <w:rPr>
                <w:rFonts w:ascii="Times New Roman" w:hAnsi="Times New Roman"/>
                <w:sz w:val="18"/>
              </w:rPr>
              <w:t>U.S. and European Industrial Point Sources</w:t>
            </w:r>
          </w:p>
        </w:tc>
        <w:tc>
          <w:tcPr>
            <w:tcW w:type="dxa" w:w="1584"/>
          </w:tcPr>
          <w:p>
            <w:pPr>
              <w:spacing w:before="40" w:after="40" w:line="252" w:lineRule="auto"/>
              <w:jc w:val="left"/>
            </w:pPr>
            <w:r>
              <w:rPr>
                <w:rFonts w:ascii="Times New Roman" w:hAnsi="Times New Roman"/>
                <w:sz w:val="18"/>
              </w:rPr>
              <w:t>Comparative Empirical Policy Audit</w:t>
            </w:r>
          </w:p>
        </w:tc>
        <w:tc>
          <w:tcPr>
            <w:tcW w:type="dxa" w:w="1872"/>
          </w:tcPr>
          <w:p>
            <w:pPr>
              <w:spacing w:before="40" w:after="40" w:line="252" w:lineRule="auto"/>
              <w:jc w:val="left"/>
            </w:pPr>
            <w:r>
              <w:rPr>
                <w:rFonts w:ascii="Times New Roman" w:hAnsi="Times New Roman"/>
                <w:sz w:val="18"/>
              </w:rPr>
              <w:t>Continuous monitoring paired with targeted enforcement audits maximizes environmental compliance.</w:t>
            </w:r>
          </w:p>
        </w:tc>
        <w:tc>
          <w:tcPr>
            <w:tcW w:type="dxa" w:w="2160"/>
          </w:tcPr>
          <w:p>
            <w:pPr>
              <w:spacing w:before="40" w:after="40" w:line="252" w:lineRule="auto"/>
              <w:jc w:val="left"/>
            </w:pPr>
            <w:r>
              <w:rPr>
                <w:rFonts w:ascii="Times New Roman" w:hAnsi="Times New Roman"/>
                <w:sz w:val="18"/>
              </w:rPr>
              <w:t>Provides practical policy justification for RQ2 automated audit screening.</w:t>
            </w:r>
          </w:p>
        </w:tc>
      </w:tr>
      <w:tr>
        <w:tc>
          <w:tcPr>
            <w:tcW w:type="dxa" w:w="1584"/>
            <w:shd w:fill="FAFAFA"/>
          </w:tcPr>
          <w:p>
            <w:pPr>
              <w:spacing w:before="40" w:after="40" w:line="252" w:lineRule="auto"/>
              <w:jc w:val="left"/>
            </w:pPr>
            <w:r>
              <w:rPr>
                <w:rFonts w:ascii="Times New Roman" w:hAnsi="Times New Roman"/>
                <w:sz w:val="18"/>
              </w:rPr>
              <w:t>Hollander et al. (2014)</w:t>
            </w:r>
          </w:p>
        </w:tc>
        <w:tc>
          <w:tcPr>
            <w:tcW w:type="dxa" w:w="1440"/>
            <w:shd w:fill="FAFAFA"/>
          </w:tcPr>
          <w:p>
            <w:pPr>
              <w:spacing w:before="40" w:after="40" w:line="252" w:lineRule="auto"/>
              <w:jc w:val="left"/>
            </w:pPr>
            <w:r>
              <w:rPr>
                <w:rFonts w:ascii="Times New Roman" w:hAnsi="Times New Roman"/>
                <w:sz w:val="18"/>
              </w:rPr>
              <w:t>Nonparametric Statistical Methods</w:t>
            </w:r>
          </w:p>
        </w:tc>
        <w:tc>
          <w:tcPr>
            <w:tcW w:type="dxa" w:w="1440"/>
            <w:shd w:fill="FAFAFA"/>
          </w:tcPr>
          <w:p>
            <w:pPr>
              <w:spacing w:before="40" w:after="40" w:line="252" w:lineRule="auto"/>
              <w:jc w:val="left"/>
            </w:pPr>
            <w:r>
              <w:rPr>
                <w:rFonts w:ascii="Times New Roman" w:hAnsi="Times New Roman"/>
                <w:sz w:val="18"/>
              </w:rPr>
              <w:t>Skewed Industrial &amp; Biometric Distributions</w:t>
            </w:r>
          </w:p>
        </w:tc>
        <w:tc>
          <w:tcPr>
            <w:tcW w:type="dxa" w:w="1584"/>
            <w:shd w:fill="FAFAFA"/>
          </w:tcPr>
          <w:p>
            <w:pPr>
              <w:spacing w:before="40" w:after="40" w:line="252" w:lineRule="auto"/>
              <w:jc w:val="left"/>
            </w:pPr>
            <w:r>
              <w:rPr>
                <w:rFonts w:ascii="Times New Roman" w:hAnsi="Times New Roman"/>
                <w:sz w:val="18"/>
              </w:rPr>
              <w:t>Kruskal-Wallis Rank-Sum &amp; Distribution-Free Tests</w:t>
            </w:r>
          </w:p>
        </w:tc>
        <w:tc>
          <w:tcPr>
            <w:tcW w:type="dxa" w:w="1872"/>
            <w:shd w:fill="FAFAFA"/>
          </w:tcPr>
          <w:p>
            <w:pPr>
              <w:spacing w:before="40" w:after="40" w:line="252" w:lineRule="auto"/>
              <w:jc w:val="left"/>
            </w:pPr>
            <w:r>
              <w:rPr>
                <w:rFonts w:ascii="Times New Roman" w:hAnsi="Times New Roman"/>
                <w:sz w:val="18"/>
              </w:rPr>
              <w:t>Rank-based omnibus tests preserve Type I error control and asymptotic power under heavy right-skewness.</w:t>
            </w:r>
          </w:p>
        </w:tc>
        <w:tc>
          <w:tcPr>
            <w:tcW w:type="dxa" w:w="2160"/>
            <w:shd w:fill="FAFAFA"/>
          </w:tcPr>
          <w:p>
            <w:pPr>
              <w:spacing w:before="40" w:after="40" w:line="252" w:lineRule="auto"/>
              <w:jc w:val="left"/>
            </w:pPr>
            <w:r>
              <w:rPr>
                <w:rFonts w:ascii="Times New Roman" w:hAnsi="Times New Roman"/>
                <w:sz w:val="18"/>
              </w:rPr>
              <w:t>Methodological basis for coupling Kruskal-Wallis with ANOVA in RQ1.</w:t>
            </w:r>
          </w:p>
        </w:tc>
      </w:tr>
      <w:tr>
        <w:tc>
          <w:tcPr>
            <w:tcW w:type="dxa" w:w="1584"/>
          </w:tcPr>
          <w:p>
            <w:pPr>
              <w:spacing w:before="40" w:after="40" w:line="252" w:lineRule="auto"/>
              <w:jc w:val="left"/>
            </w:pPr>
            <w:r>
              <w:rPr>
                <w:rFonts w:ascii="Times New Roman" w:hAnsi="Times New Roman"/>
                <w:sz w:val="18"/>
              </w:rPr>
              <w:t>Gibbons &amp; Chakraborti (2011)</w:t>
            </w:r>
          </w:p>
        </w:tc>
        <w:tc>
          <w:tcPr>
            <w:tcW w:type="dxa" w:w="1440"/>
          </w:tcPr>
          <w:p>
            <w:pPr>
              <w:spacing w:before="40" w:after="40" w:line="252" w:lineRule="auto"/>
              <w:jc w:val="left"/>
            </w:pPr>
            <w:r>
              <w:rPr>
                <w:rFonts w:ascii="Times New Roman" w:hAnsi="Times New Roman"/>
                <w:sz w:val="18"/>
              </w:rPr>
              <w:t>Mathematical Statistics</w:t>
            </w:r>
          </w:p>
        </w:tc>
        <w:tc>
          <w:tcPr>
            <w:tcW w:type="dxa" w:w="1440"/>
          </w:tcPr>
          <w:p>
            <w:pPr>
              <w:spacing w:before="40" w:after="40" w:line="252" w:lineRule="auto"/>
              <w:jc w:val="left"/>
            </w:pPr>
            <w:r>
              <w:rPr>
                <w:rFonts w:ascii="Times New Roman" w:hAnsi="Times New Roman"/>
                <w:sz w:val="18"/>
              </w:rPr>
              <w:t>Asymptotic Relative Efficiency Proofs</w:t>
            </w:r>
          </w:p>
        </w:tc>
        <w:tc>
          <w:tcPr>
            <w:tcW w:type="dxa" w:w="1584"/>
          </w:tcPr>
          <w:p>
            <w:pPr>
              <w:spacing w:before="40" w:after="40" w:line="252" w:lineRule="auto"/>
              <w:jc w:val="left"/>
            </w:pPr>
            <w:r>
              <w:rPr>
                <w:rFonts w:ascii="Times New Roman" w:hAnsi="Times New Roman"/>
                <w:sz w:val="18"/>
              </w:rPr>
              <w:t>Rank Order Statistics &amp; Multiple Comparisons</w:t>
            </w:r>
          </w:p>
        </w:tc>
        <w:tc>
          <w:tcPr>
            <w:tcW w:type="dxa" w:w="1872"/>
          </w:tcPr>
          <w:p>
            <w:pPr>
              <w:spacing w:before="40" w:after="40" w:line="252" w:lineRule="auto"/>
              <w:jc w:val="left"/>
            </w:pPr>
            <w:r>
              <w:rPr>
                <w:rFonts w:ascii="Times New Roman" w:hAnsi="Times New Roman"/>
                <w:sz w:val="18"/>
              </w:rPr>
              <w:t>Non-parametric rank tests achieve &gt;95% efficiency vs parametric F-tests even under Gaussian conditions.</w:t>
            </w:r>
          </w:p>
        </w:tc>
        <w:tc>
          <w:tcPr>
            <w:tcW w:type="dxa" w:w="2160"/>
          </w:tcPr>
          <w:p>
            <w:pPr>
              <w:spacing w:before="40" w:after="40" w:line="252" w:lineRule="auto"/>
              <w:jc w:val="left"/>
            </w:pPr>
            <w:r>
              <w:rPr>
                <w:rFonts w:ascii="Times New Roman" w:hAnsi="Times New Roman"/>
                <w:sz w:val="18"/>
              </w:rPr>
              <w:t>Validates robustness of RQ1 rank testing and RQ3 Spearman rank correlation.</w:t>
            </w:r>
          </w:p>
        </w:tc>
      </w:tr>
      <w:tr>
        <w:tc>
          <w:tcPr>
            <w:tcW w:type="dxa" w:w="1584"/>
            <w:shd w:fill="FAFAFA"/>
          </w:tcPr>
          <w:p>
            <w:pPr>
              <w:spacing w:before="40" w:after="40" w:line="252" w:lineRule="auto"/>
              <w:jc w:val="left"/>
            </w:pPr>
            <w:r>
              <w:rPr>
                <w:rFonts w:ascii="Times New Roman" w:hAnsi="Times New Roman"/>
                <w:sz w:val="18"/>
              </w:rPr>
              <w:t>Montgomery et al. (2021)</w:t>
            </w:r>
          </w:p>
        </w:tc>
        <w:tc>
          <w:tcPr>
            <w:tcW w:type="dxa" w:w="1440"/>
            <w:shd w:fill="FAFAFA"/>
          </w:tcPr>
          <w:p>
            <w:pPr>
              <w:spacing w:before="40" w:after="40" w:line="252" w:lineRule="auto"/>
              <w:jc w:val="left"/>
            </w:pPr>
            <w:r>
              <w:rPr>
                <w:rFonts w:ascii="Times New Roman" w:hAnsi="Times New Roman"/>
                <w:sz w:val="18"/>
              </w:rPr>
              <w:t>Applied Regression Econometrics</w:t>
            </w:r>
          </w:p>
        </w:tc>
        <w:tc>
          <w:tcPr>
            <w:tcW w:type="dxa" w:w="1440"/>
            <w:shd w:fill="FAFAFA"/>
          </w:tcPr>
          <w:p>
            <w:pPr>
              <w:spacing w:before="40" w:after="40" w:line="252" w:lineRule="auto"/>
              <w:jc w:val="left"/>
            </w:pPr>
            <w:r>
              <w:rPr>
                <w:rFonts w:ascii="Times New Roman" w:hAnsi="Times New Roman"/>
                <w:sz w:val="18"/>
              </w:rPr>
              <w:t>Engineering &amp; Industrial Process Data</w:t>
            </w:r>
          </w:p>
        </w:tc>
        <w:tc>
          <w:tcPr>
            <w:tcW w:type="dxa" w:w="1584"/>
            <w:shd w:fill="FAFAFA"/>
          </w:tcPr>
          <w:p>
            <w:pPr>
              <w:spacing w:before="40" w:after="40" w:line="252" w:lineRule="auto"/>
              <w:jc w:val="left"/>
            </w:pPr>
            <w:r>
              <w:rPr>
                <w:rFonts w:ascii="Times New Roman" w:hAnsi="Times New Roman"/>
                <w:sz w:val="18"/>
              </w:rPr>
              <w:t>OLS Estimation, Variance Inflation, Diagnostics</w:t>
            </w:r>
          </w:p>
        </w:tc>
        <w:tc>
          <w:tcPr>
            <w:tcW w:type="dxa" w:w="1872"/>
            <w:shd w:fill="FAFAFA"/>
          </w:tcPr>
          <w:p>
            <w:pPr>
              <w:spacing w:before="40" w:after="40" w:line="252" w:lineRule="auto"/>
              <w:jc w:val="left"/>
            </w:pPr>
            <w:r>
              <w:rPr>
                <w:rFonts w:ascii="Times New Roman" w:hAnsi="Times New Roman"/>
                <w:sz w:val="18"/>
              </w:rPr>
              <w:t>Demonstrates how omitted scale variables bias bivariate slopes and how multivariate OLS isolates partial effects.</w:t>
            </w:r>
          </w:p>
        </w:tc>
        <w:tc>
          <w:tcPr>
            <w:tcW w:type="dxa" w:w="2160"/>
            <w:shd w:fill="FAFAFA"/>
          </w:tcPr>
          <w:p>
            <w:pPr>
              <w:spacing w:before="40" w:after="40" w:line="252" w:lineRule="auto"/>
              <w:jc w:val="left"/>
            </w:pPr>
            <w:r>
              <w:rPr>
                <w:rFonts w:ascii="Times New Roman" w:hAnsi="Times New Roman"/>
                <w:sz w:val="18"/>
              </w:rPr>
              <w:t>Directly explains the bivariate-to-multivariate age slope reversal in RQ3.</w:t>
            </w:r>
          </w:p>
        </w:tc>
      </w:tr>
      <w:tr>
        <w:tc>
          <w:tcPr>
            <w:tcW w:type="dxa" w:w="1584"/>
          </w:tcPr>
          <w:p>
            <w:pPr>
              <w:spacing w:before="40" w:after="40" w:line="252" w:lineRule="auto"/>
              <w:jc w:val="left"/>
            </w:pPr>
            <w:r>
              <w:rPr>
                <w:rFonts w:ascii="Times New Roman" w:hAnsi="Times New Roman"/>
                <w:sz w:val="18"/>
              </w:rPr>
              <w:t>Field (2018)</w:t>
            </w:r>
          </w:p>
        </w:tc>
        <w:tc>
          <w:tcPr>
            <w:tcW w:type="dxa" w:w="1440"/>
          </w:tcPr>
          <w:p>
            <w:pPr>
              <w:spacing w:before="40" w:after="40" w:line="252" w:lineRule="auto"/>
              <w:jc w:val="left"/>
            </w:pPr>
            <w:r>
              <w:rPr>
                <w:rFonts w:ascii="Times New Roman" w:hAnsi="Times New Roman"/>
                <w:sz w:val="18"/>
              </w:rPr>
              <w:t>Quantitative Research Methodology</w:t>
            </w:r>
          </w:p>
        </w:tc>
        <w:tc>
          <w:tcPr>
            <w:tcW w:type="dxa" w:w="1440"/>
          </w:tcPr>
          <w:p>
            <w:pPr>
              <w:spacing w:before="40" w:after="40" w:line="252" w:lineRule="auto"/>
              <w:jc w:val="left"/>
            </w:pPr>
            <w:r>
              <w:rPr>
                <w:rFonts w:ascii="Times New Roman" w:hAnsi="Times New Roman"/>
                <w:sz w:val="18"/>
              </w:rPr>
              <w:t>Behavioral &amp; Physical Science Datasets</w:t>
            </w:r>
          </w:p>
        </w:tc>
        <w:tc>
          <w:tcPr>
            <w:tcW w:type="dxa" w:w="1584"/>
          </w:tcPr>
          <w:p>
            <w:pPr>
              <w:spacing w:before="40" w:after="40" w:line="252" w:lineRule="auto"/>
              <w:jc w:val="left"/>
            </w:pPr>
            <w:r>
              <w:rPr>
                <w:rFonts w:ascii="Times New Roman" w:hAnsi="Times New Roman"/>
                <w:sz w:val="18"/>
              </w:rPr>
              <w:t>One-Way ANOVA, Eta-Squared (η²), Tukey HSD</w:t>
            </w:r>
          </w:p>
        </w:tc>
        <w:tc>
          <w:tcPr>
            <w:tcW w:type="dxa" w:w="1872"/>
          </w:tcPr>
          <w:p>
            <w:pPr>
              <w:spacing w:before="40" w:after="40" w:line="252" w:lineRule="auto"/>
              <w:jc w:val="left"/>
            </w:pPr>
            <w:r>
              <w:rPr>
                <w:rFonts w:ascii="Times New Roman" w:hAnsi="Times New Roman"/>
                <w:sz w:val="18"/>
              </w:rPr>
              <w:t>Establishes effect size thresholds (η² &gt; 0.14 = large effect) and family-wise error control via Tukey HSD.</w:t>
            </w:r>
          </w:p>
        </w:tc>
        <w:tc>
          <w:tcPr>
            <w:tcW w:type="dxa" w:w="2160"/>
          </w:tcPr>
          <w:p>
            <w:pPr>
              <w:spacing w:before="40" w:after="40" w:line="252" w:lineRule="auto"/>
              <w:jc w:val="left"/>
            </w:pPr>
            <w:r>
              <w:rPr>
                <w:rFonts w:ascii="Times New Roman" w:hAnsi="Times New Roman"/>
                <w:sz w:val="18"/>
              </w:rPr>
              <w:t>Supplies exact mathematical formulations for RQ1 omnibus and post-hoc tests.</w:t>
            </w:r>
          </w:p>
        </w:tc>
      </w:tr>
      <w:tr>
        <w:tc>
          <w:tcPr>
            <w:tcW w:type="dxa" w:w="1584"/>
            <w:shd w:fill="FAFAFA"/>
          </w:tcPr>
          <w:p>
            <w:pPr>
              <w:spacing w:before="40" w:after="40" w:line="252" w:lineRule="auto"/>
              <w:jc w:val="left"/>
            </w:pPr>
            <w:r>
              <w:rPr>
                <w:rFonts w:ascii="Times New Roman" w:hAnsi="Times New Roman"/>
                <w:sz w:val="18"/>
              </w:rPr>
              <w:t>Cochran (1977)</w:t>
            </w:r>
          </w:p>
        </w:tc>
        <w:tc>
          <w:tcPr>
            <w:tcW w:type="dxa" w:w="1440"/>
            <w:shd w:fill="FAFAFA"/>
          </w:tcPr>
          <w:p>
            <w:pPr>
              <w:spacing w:before="40" w:after="40" w:line="252" w:lineRule="auto"/>
              <w:jc w:val="left"/>
            </w:pPr>
            <w:r>
              <w:rPr>
                <w:rFonts w:ascii="Times New Roman" w:hAnsi="Times New Roman"/>
                <w:sz w:val="18"/>
              </w:rPr>
              <w:t>Sampling Theory &amp; Power Analysis</w:t>
            </w:r>
          </w:p>
        </w:tc>
        <w:tc>
          <w:tcPr>
            <w:tcW w:type="dxa" w:w="1440"/>
            <w:shd w:fill="FAFAFA"/>
          </w:tcPr>
          <w:p>
            <w:pPr>
              <w:spacing w:before="40" w:after="40" w:line="252" w:lineRule="auto"/>
              <w:jc w:val="left"/>
            </w:pPr>
            <w:r>
              <w:rPr>
                <w:rFonts w:ascii="Times New Roman" w:hAnsi="Times New Roman"/>
                <w:sz w:val="18"/>
              </w:rPr>
              <w:t>Finite &amp; Infinite Population Surveys</w:t>
            </w:r>
          </w:p>
        </w:tc>
        <w:tc>
          <w:tcPr>
            <w:tcW w:type="dxa" w:w="1584"/>
            <w:shd w:fill="FAFAFA"/>
          </w:tcPr>
          <w:p>
            <w:pPr>
              <w:spacing w:before="40" w:after="40" w:line="252" w:lineRule="auto"/>
              <w:jc w:val="left"/>
            </w:pPr>
            <w:r>
              <w:rPr>
                <w:rFonts w:ascii="Times New Roman" w:hAnsi="Times New Roman"/>
                <w:sz w:val="18"/>
              </w:rPr>
              <w:t>Stratified Allocation &amp; Sample Size Bounds</w:t>
            </w:r>
          </w:p>
        </w:tc>
        <w:tc>
          <w:tcPr>
            <w:tcW w:type="dxa" w:w="1872"/>
            <w:shd w:fill="FAFAFA"/>
          </w:tcPr>
          <w:p>
            <w:pPr>
              <w:spacing w:before="40" w:after="40" w:line="252" w:lineRule="auto"/>
              <w:jc w:val="left"/>
            </w:pPr>
            <w:r>
              <w:rPr>
                <w:rFonts w:ascii="Times New Roman" w:hAnsi="Times New Roman"/>
                <w:sz w:val="18"/>
              </w:rPr>
              <w:t>Derives minimum sample size equations for group means, proportions, and stratified holdout estimation.</w:t>
            </w:r>
          </w:p>
        </w:tc>
        <w:tc>
          <w:tcPr>
            <w:tcW w:type="dxa" w:w="2160"/>
            <w:shd w:fill="FAFAFA"/>
          </w:tcPr>
          <w:p>
            <w:pPr>
              <w:spacing w:before="40" w:after="40" w:line="252" w:lineRule="auto"/>
              <w:jc w:val="left"/>
            </w:pPr>
            <w:r>
              <w:rPr>
                <w:rFonts w:ascii="Times New Roman" w:hAnsi="Times New Roman"/>
                <w:sz w:val="18"/>
              </w:rPr>
              <w:t>Validates that N = 4,050 (3,240 train / 810 test) exceeds minimum bounds by 5x–22x.</w:t>
            </w:r>
          </w:p>
        </w:tc>
      </w:tr>
      <w:tr>
        <w:tc>
          <w:tcPr>
            <w:tcW w:type="dxa" w:w="1584"/>
          </w:tcPr>
          <w:p>
            <w:pPr>
              <w:spacing w:before="40" w:after="40" w:line="252" w:lineRule="auto"/>
              <w:jc w:val="left"/>
            </w:pPr>
            <w:r>
              <w:rPr>
                <w:rFonts w:ascii="Times New Roman" w:hAnsi="Times New Roman"/>
                <w:sz w:val="18"/>
              </w:rPr>
              <w:t>Kruskal &amp; Wallis (1952)</w:t>
            </w:r>
          </w:p>
        </w:tc>
        <w:tc>
          <w:tcPr>
            <w:tcW w:type="dxa" w:w="1440"/>
          </w:tcPr>
          <w:p>
            <w:pPr>
              <w:spacing w:before="40" w:after="40" w:line="252" w:lineRule="auto"/>
              <w:jc w:val="left"/>
            </w:pPr>
            <w:r>
              <w:rPr>
                <w:rFonts w:ascii="Times New Roman" w:hAnsi="Times New Roman"/>
                <w:sz w:val="18"/>
              </w:rPr>
              <w:t>Seminal Statistical Theory</w:t>
            </w:r>
          </w:p>
        </w:tc>
        <w:tc>
          <w:tcPr>
            <w:tcW w:type="dxa" w:w="1440"/>
          </w:tcPr>
          <w:p>
            <w:pPr>
              <w:spacing w:before="40" w:after="40" w:line="252" w:lineRule="auto"/>
              <w:jc w:val="left"/>
            </w:pPr>
            <w:r>
              <w:rPr>
                <w:rFonts w:ascii="Times New Roman" w:hAnsi="Times New Roman"/>
                <w:sz w:val="18"/>
              </w:rPr>
              <w:t>Multi-Group Independent Samples</w:t>
            </w:r>
          </w:p>
        </w:tc>
        <w:tc>
          <w:tcPr>
            <w:tcW w:type="dxa" w:w="1584"/>
          </w:tcPr>
          <w:p>
            <w:pPr>
              <w:spacing w:before="40" w:after="40" w:line="252" w:lineRule="auto"/>
              <w:jc w:val="left"/>
            </w:pPr>
            <w:r>
              <w:rPr>
                <w:rFonts w:ascii="Times New Roman" w:hAnsi="Times New Roman"/>
                <w:sz w:val="18"/>
              </w:rPr>
              <w:t>H-Statistic Chi-Square Approximation</w:t>
            </w:r>
          </w:p>
        </w:tc>
        <w:tc>
          <w:tcPr>
            <w:tcW w:type="dxa" w:w="1872"/>
          </w:tcPr>
          <w:p>
            <w:pPr>
              <w:spacing w:before="40" w:after="40" w:line="252" w:lineRule="auto"/>
              <w:jc w:val="left"/>
            </w:pPr>
            <w:r>
              <w:rPr>
                <w:rFonts w:ascii="Times New Roman" w:hAnsi="Times New Roman"/>
                <w:sz w:val="18"/>
              </w:rPr>
              <w:t>Formulates the exact rank-sum test statistic H for testing stochastic equality across k groups.</w:t>
            </w:r>
          </w:p>
        </w:tc>
        <w:tc>
          <w:tcPr>
            <w:tcW w:type="dxa" w:w="2160"/>
          </w:tcPr>
          <w:p>
            <w:pPr>
              <w:spacing w:before="40" w:after="40" w:line="252" w:lineRule="auto"/>
              <w:jc w:val="left"/>
            </w:pPr>
            <w:r>
              <w:rPr>
                <w:rFonts w:ascii="Times New Roman" w:hAnsi="Times New Roman"/>
                <w:sz w:val="18"/>
              </w:rPr>
              <w:t>Foundational mathematical equation implemented for RQ1 fuel variance testing.</w:t>
            </w:r>
          </w:p>
        </w:tc>
      </w:tr>
      <w:tr>
        <w:tc>
          <w:tcPr>
            <w:tcW w:type="dxa" w:w="1584"/>
            <w:shd w:fill="FAFAFA"/>
          </w:tcPr>
          <w:p>
            <w:pPr>
              <w:spacing w:before="40" w:after="40" w:line="252" w:lineRule="auto"/>
              <w:jc w:val="left"/>
            </w:pPr>
            <w:r>
              <w:rPr>
                <w:rFonts w:ascii="Times New Roman" w:hAnsi="Times New Roman"/>
                <w:sz w:val="18"/>
              </w:rPr>
              <w:t>Breiman (2001)</w:t>
            </w:r>
          </w:p>
        </w:tc>
        <w:tc>
          <w:tcPr>
            <w:tcW w:type="dxa" w:w="1440"/>
            <w:shd w:fill="FAFAFA"/>
          </w:tcPr>
          <w:p>
            <w:pPr>
              <w:spacing w:before="40" w:after="40" w:line="252" w:lineRule="auto"/>
              <w:jc w:val="left"/>
            </w:pPr>
            <w:r>
              <w:rPr>
                <w:rFonts w:ascii="Times New Roman" w:hAnsi="Times New Roman"/>
                <w:sz w:val="18"/>
              </w:rPr>
              <w:t>Ensemble Machine Learning</w:t>
            </w:r>
          </w:p>
        </w:tc>
        <w:tc>
          <w:tcPr>
            <w:tcW w:type="dxa" w:w="1440"/>
            <w:shd w:fill="FAFAFA"/>
          </w:tcPr>
          <w:p>
            <w:pPr>
              <w:spacing w:before="40" w:after="40" w:line="252" w:lineRule="auto"/>
              <w:jc w:val="left"/>
            </w:pPr>
            <w:r>
              <w:rPr>
                <w:rFonts w:ascii="Times New Roman" w:hAnsi="Times New Roman"/>
                <w:sz w:val="18"/>
              </w:rPr>
              <w:t>High-Dimensional Classification Benchmarks</w:t>
            </w:r>
          </w:p>
        </w:tc>
        <w:tc>
          <w:tcPr>
            <w:tcW w:type="dxa" w:w="1584"/>
            <w:shd w:fill="FAFAFA"/>
          </w:tcPr>
          <w:p>
            <w:pPr>
              <w:spacing w:before="40" w:after="40" w:line="252" w:lineRule="auto"/>
              <w:jc w:val="left"/>
            </w:pPr>
            <w:r>
              <w:rPr>
                <w:rFonts w:ascii="Times New Roman" w:hAnsi="Times New Roman"/>
                <w:sz w:val="18"/>
              </w:rPr>
              <w:t>Random Forests, Bagging, Gini Impurity MDI</w:t>
            </w:r>
          </w:p>
        </w:tc>
        <w:tc>
          <w:tcPr>
            <w:tcW w:type="dxa" w:w="1872"/>
            <w:shd w:fill="FAFAFA"/>
          </w:tcPr>
          <w:p>
            <w:pPr>
              <w:spacing w:before="40" w:after="40" w:line="252" w:lineRule="auto"/>
              <w:jc w:val="left"/>
            </w:pPr>
            <w:r>
              <w:rPr>
                <w:rFonts w:ascii="Times New Roman" w:hAnsi="Times New Roman"/>
                <w:sz w:val="18"/>
              </w:rPr>
              <w:t>Bootstrap aggregation of randomized trees reduces variance without increasing bias and yields robust feature importance.</w:t>
            </w:r>
          </w:p>
        </w:tc>
        <w:tc>
          <w:tcPr>
            <w:tcW w:type="dxa" w:w="2160"/>
            <w:shd w:fill="FAFAFA"/>
          </w:tcPr>
          <w:p>
            <w:pPr>
              <w:spacing w:before="40" w:after="40" w:line="252" w:lineRule="auto"/>
              <w:jc w:val="left"/>
            </w:pPr>
            <w:r>
              <w:rPr>
                <w:rFonts w:ascii="Times New Roman" w:hAnsi="Times New Roman"/>
                <w:sz w:val="18"/>
              </w:rPr>
              <w:t>Core algorithm for RQ2 classification (93.14% recall) and feature ranking.</w:t>
            </w:r>
          </w:p>
        </w:tc>
      </w:tr>
      <w:tr>
        <w:tc>
          <w:tcPr>
            <w:tcW w:type="dxa" w:w="1584"/>
          </w:tcPr>
          <w:p>
            <w:pPr>
              <w:spacing w:before="40" w:after="40" w:line="252" w:lineRule="auto"/>
              <w:jc w:val="left"/>
            </w:pPr>
            <w:r>
              <w:rPr>
                <w:rFonts w:ascii="Times New Roman" w:hAnsi="Times New Roman"/>
                <w:sz w:val="18"/>
              </w:rPr>
              <w:t>Friedman (2001)</w:t>
            </w:r>
          </w:p>
        </w:tc>
        <w:tc>
          <w:tcPr>
            <w:tcW w:type="dxa" w:w="1440"/>
          </w:tcPr>
          <w:p>
            <w:pPr>
              <w:spacing w:before="40" w:after="40" w:line="252" w:lineRule="auto"/>
              <w:jc w:val="left"/>
            </w:pPr>
            <w:r>
              <w:rPr>
                <w:rFonts w:ascii="Times New Roman" w:hAnsi="Times New Roman"/>
                <w:sz w:val="18"/>
              </w:rPr>
              <w:t>Statistical Learning &amp; Boosting</w:t>
            </w:r>
          </w:p>
        </w:tc>
        <w:tc>
          <w:tcPr>
            <w:tcW w:type="dxa" w:w="1440"/>
          </w:tcPr>
          <w:p>
            <w:pPr>
              <w:spacing w:before="40" w:after="40" w:line="252" w:lineRule="auto"/>
              <w:jc w:val="left"/>
            </w:pPr>
            <w:r>
              <w:rPr>
                <w:rFonts w:ascii="Times New Roman" w:hAnsi="Times New Roman"/>
                <w:sz w:val="18"/>
              </w:rPr>
              <w:t>Additive Expansion in Function Space</w:t>
            </w:r>
          </w:p>
        </w:tc>
        <w:tc>
          <w:tcPr>
            <w:tcW w:type="dxa" w:w="1584"/>
          </w:tcPr>
          <w:p>
            <w:pPr>
              <w:spacing w:before="40" w:after="40" w:line="252" w:lineRule="auto"/>
              <w:jc w:val="left"/>
            </w:pPr>
            <w:r>
              <w:rPr>
                <w:rFonts w:ascii="Times New Roman" w:hAnsi="Times New Roman"/>
                <w:sz w:val="18"/>
              </w:rPr>
              <w:t>Gradient Boosting Machines (GBM)</w:t>
            </w:r>
          </w:p>
        </w:tc>
        <w:tc>
          <w:tcPr>
            <w:tcW w:type="dxa" w:w="1872"/>
          </w:tcPr>
          <w:p>
            <w:pPr>
              <w:spacing w:before="40" w:after="40" w:line="252" w:lineRule="auto"/>
              <w:jc w:val="left"/>
            </w:pPr>
            <w:r>
              <w:rPr>
                <w:rFonts w:ascii="Times New Roman" w:hAnsi="Times New Roman"/>
                <w:sz w:val="18"/>
              </w:rPr>
              <w:t>Stage-wise additive trees fitted to negative loss gradients achieve state-of-the-art tabular classification accuracy.</w:t>
            </w:r>
          </w:p>
        </w:tc>
        <w:tc>
          <w:tcPr>
            <w:tcW w:type="dxa" w:w="2160"/>
          </w:tcPr>
          <w:p>
            <w:pPr>
              <w:spacing w:before="40" w:after="40" w:line="252" w:lineRule="auto"/>
              <w:jc w:val="left"/>
            </w:pPr>
            <w:r>
              <w:rPr>
                <w:rFonts w:ascii="Times New Roman" w:hAnsi="Times New Roman"/>
                <w:sz w:val="18"/>
              </w:rPr>
              <w:t>Primary champion classifier in RQ2 (96.54% accuracy, ROC-AUC = 0.9865).</w:t>
            </w:r>
          </w:p>
        </w:tc>
      </w:tr>
      <w:tr>
        <w:tc>
          <w:tcPr>
            <w:tcW w:type="dxa" w:w="1584"/>
            <w:shd w:fill="FAFAFA"/>
          </w:tcPr>
          <w:p>
            <w:pPr>
              <w:spacing w:before="40" w:after="40" w:line="252" w:lineRule="auto"/>
              <w:jc w:val="left"/>
            </w:pPr>
            <w:r>
              <w:rPr>
                <w:rFonts w:ascii="Times New Roman" w:hAnsi="Times New Roman"/>
                <w:sz w:val="18"/>
              </w:rPr>
              <w:t>MacQueen (1967)</w:t>
            </w:r>
          </w:p>
        </w:tc>
        <w:tc>
          <w:tcPr>
            <w:tcW w:type="dxa" w:w="1440"/>
            <w:shd w:fill="FAFAFA"/>
          </w:tcPr>
          <w:p>
            <w:pPr>
              <w:spacing w:before="40" w:after="40" w:line="252" w:lineRule="auto"/>
              <w:jc w:val="left"/>
            </w:pPr>
            <w:r>
              <w:rPr>
                <w:rFonts w:ascii="Times New Roman" w:hAnsi="Times New Roman"/>
                <w:sz w:val="18"/>
              </w:rPr>
              <w:t>Unsupervised Pattern Recognition</w:t>
            </w:r>
          </w:p>
        </w:tc>
        <w:tc>
          <w:tcPr>
            <w:tcW w:type="dxa" w:w="1440"/>
            <w:shd w:fill="FAFAFA"/>
          </w:tcPr>
          <w:p>
            <w:pPr>
              <w:spacing w:before="40" w:after="40" w:line="252" w:lineRule="auto"/>
              <w:jc w:val="left"/>
            </w:pPr>
            <w:r>
              <w:rPr>
                <w:rFonts w:ascii="Times New Roman" w:hAnsi="Times New Roman"/>
                <w:sz w:val="18"/>
              </w:rPr>
              <w:t>Multivariate Euclidean Spaces</w:t>
            </w:r>
          </w:p>
        </w:tc>
        <w:tc>
          <w:tcPr>
            <w:tcW w:type="dxa" w:w="1584"/>
            <w:shd w:fill="FAFAFA"/>
          </w:tcPr>
          <w:p>
            <w:pPr>
              <w:spacing w:before="40" w:after="40" w:line="252" w:lineRule="auto"/>
              <w:jc w:val="left"/>
            </w:pPr>
            <w:r>
              <w:rPr>
                <w:rFonts w:ascii="Times New Roman" w:hAnsi="Times New Roman"/>
                <w:sz w:val="18"/>
              </w:rPr>
              <w:t>K-Means Centroid Partitioning</w:t>
            </w:r>
          </w:p>
        </w:tc>
        <w:tc>
          <w:tcPr>
            <w:tcW w:type="dxa" w:w="1872"/>
            <w:shd w:fill="FAFAFA"/>
          </w:tcPr>
          <w:p>
            <w:pPr>
              <w:spacing w:before="40" w:after="40" w:line="252" w:lineRule="auto"/>
              <w:jc w:val="left"/>
            </w:pPr>
            <w:r>
              <w:rPr>
                <w:rFonts w:ascii="Times New Roman" w:hAnsi="Times New Roman"/>
                <w:sz w:val="18"/>
              </w:rPr>
              <w:t>Iterative minimization of within-cluster sum of squares (WCSS) partitions N observations into k Voronoi cells.</w:t>
            </w:r>
          </w:p>
        </w:tc>
        <w:tc>
          <w:tcPr>
            <w:tcW w:type="dxa" w:w="2160"/>
            <w:shd w:fill="FAFAFA"/>
          </w:tcPr>
          <w:p>
            <w:pPr>
              <w:spacing w:before="40" w:after="40" w:line="252" w:lineRule="auto"/>
              <w:jc w:val="left"/>
            </w:pPr>
            <w:r>
              <w:rPr>
                <w:rFonts w:ascii="Times New Roman" w:hAnsi="Times New Roman"/>
                <w:sz w:val="18"/>
              </w:rPr>
              <w:t>Algorithmic foundation for RQ4 fleet segmentation into k = 4 operational archetypes.</w:t>
            </w:r>
          </w:p>
        </w:tc>
      </w:tr>
    </w:tbl>
    <w:p>
      <w:pPr>
        <w:spacing w:before="60" w:after="240"/>
      </w:pPr>
      <w:r>
        <w:rPr>
          <w:rFonts w:ascii="Times New Roman" w:hAnsi="Times New Roman"/>
          <w:i/>
          <w:sz w:val="18"/>
        </w:rPr>
        <w:t xml:space="preserve">Note. </w:t>
      </w:r>
      <w:r>
        <w:rPr>
          <w:rFonts w:ascii="Times New Roman" w:hAnsi="Times New Roman"/>
          <w:sz w:val="18"/>
        </w:rPr>
        <w:t>Synthesis of 14 peer-reviewed and statutory sources establishing theoretical and methodological foundations for RQ1–RQ4.</w:t>
      </w:r>
    </w:p>
    <w:p>
      <w:pPr>
        <w:keepNext/>
        <w:spacing w:before="240" w:after="120"/>
        <w:jc w:val="left"/>
      </w:pPr>
      <w:r>
        <w:rPr>
          <w:rFonts w:ascii="Times New Roman" w:hAnsi="Times New Roman"/>
          <w:b/>
          <w:color w:val="19375F"/>
          <w:sz w:val="24"/>
        </w:rPr>
        <w:t>Thematic Synthesis of Literature</w:t>
      </w:r>
    </w:p>
    <w:p>
      <w:pPr>
        <w:spacing w:after="120" w:line="276" w:lineRule="auto"/>
        <w:jc w:val="left"/>
      </w:pPr>
      <w:r>
        <w:rPr>
          <w:rFonts w:ascii="Times New Roman" w:hAnsi="Times New Roman"/>
          <w:i w:val="0"/>
          <w:sz w:val="22"/>
        </w:rPr>
        <w:t>Theme 1: Market-Based Environmental Regulation and Fuel-Driven Emission Disparity (Supporting RQ1). A substantial body of environmental economics literature (Schmalensee &amp; Stavins, 2017; Ellis et al., 2019; Harrington et al., 2004) documents how statutory cap-and-trade programs—beginning with Title IV of the 1990 Clean Air Act Amendments and evolving through CSAPR and MATS—reshaped the technological composition of the U.S. electric power sector. By pricing SO₂ and NOₓ emission allowances and mandating strict mercury limits, these policies accelerated the retirement of smaller, inefficient coal boilers while concentrating solid-fuel generation within massive baseload steam units capable of amortizing hundred-million-dollar scrubber retrofits. Simultaneously, deregulated wholesale electricity markets favored the rapid buildout of modular natural gas combustion turbines and combined cycle plants (U.S. EPA, 2024). Consequently, primary fuel type is no longer merely a chemical input; it proxies distinct thermodynamic architectures and physical combustion scales. This literature directly motivates RQ1, which tests whether primary fuel categories exhibit statistically significant divergence in maximum hourly heat input.</w:t>
      </w:r>
    </w:p>
    <w:p>
      <w:pPr>
        <w:spacing w:after="120" w:line="276" w:lineRule="auto"/>
        <w:jc w:val="left"/>
      </w:pPr>
      <w:r>
        <w:rPr>
          <w:rFonts w:ascii="Times New Roman" w:hAnsi="Times New Roman"/>
          <w:i w:val="0"/>
          <w:sz w:val="22"/>
        </w:rPr>
        <w:t>Theme 2: Generating Unit Vintage, Regulatory Grandfathering, and Scale Confounding (Supporting RQ3). Power systems engineering and econometric studies (Burtraw et al., 2012; Montgomery et al., 2021) highlight a critical structural phenomenon in the U.S. fleet known as regulatory 'grandfathering.' Under New Source Performance Standards (NSPS), stringent abatement mandates applied primarily to newly constructed facilities, creating strong economic incentives for utilities to extend the operational lifespan of large coal-fired steam boilers built in the 1960s and 1970s. Conversely, capacity additions since 2000 have been dominated by modular gas turbines with smaller per-unit megawatt footprints. In cross-sectional data, this historical evolution induces positive confounding between unit age and thermal input capacity: older units appear more thermally intensive in bivariate correlations primarily because legacy surviving units are large baseload boilers, whereas conditional on nameplate electrical capacity, modern combined cycle configurations achieve higher thermal packing density. Montgomery et al. (2021) emphasize that resolving such confounding requires comparing simple bivariate OLS against multivariate OLS models controlling for physical scale and abatement hardware—precisely the econometric design executed in RQ3.</w:t>
      </w:r>
    </w:p>
    <w:p>
      <w:pPr>
        <w:spacing w:after="120" w:line="276" w:lineRule="auto"/>
        <w:jc w:val="left"/>
      </w:pPr>
      <w:r>
        <w:rPr>
          <w:rFonts w:ascii="Times New Roman" w:hAnsi="Times New Roman"/>
          <w:i w:val="0"/>
          <w:sz w:val="22"/>
        </w:rPr>
        <w:t>Theme 3: Parametric and Non-Parametric Dual Inference on Skewed Industrial Data (Supporting RQ1 &amp; RQ3). Methodological treatises in mathematical statistics (Kruskal &amp; Wallis, 1952; Gibbons &amp; Chakraborti, 2011; Hollander et al., 2014; Field, 2018) demonstrate that industrial facility datasets routinely violate Gaussian normality and homoscedasticity assumptions due to extreme right-skewness (e.g., thousands of 50 MW peaking turbines coexisting with 1,300 MW supercritical boilers). While One-Way ANOVA is asymptotically robust under large sample sizes (Cochran, 1977), heavy tails can inflate variance estimates and distort p-values in unbalanced groups. Therefore, best-practice statistical rigor dictates pairing parametric One-Way ANOVA (reporting F-statistics, Eta-squared η² effect sizes, and Tukey HSD family-wise error-controlled contrasts) with the distribution-free Kruskal-Wallis H-test, and pairing Pearson linear correlation (r) with Spearman rank-order correlation (ρ).</w:t>
      </w:r>
    </w:p>
    <w:p>
      <w:pPr>
        <w:spacing w:after="120" w:line="276" w:lineRule="auto"/>
        <w:jc w:val="left"/>
      </w:pPr>
      <w:r>
        <w:rPr>
          <w:rFonts w:ascii="Times New Roman" w:hAnsi="Times New Roman"/>
          <w:i w:val="0"/>
          <w:sz w:val="22"/>
        </w:rPr>
        <w:t>Theme 4: Ensemble Machine Learning for Compliance Risk Classification (Supporting RQ2). In predictive analytics for tabular regulatory data, Breiman (2001) and Friedman (2001) proved that tree-based ensemble architectures—Random Forests and Gradient Boosting Machines—consistently outperform generalized linear models by automatically capturing non-linear threshold effects and high-order interactions (such as the interaction between coal combustion, boiler design, and multi-pollutant scrubber counts). While regularized Logistic Regression serves as an essential probabilistic linear benchmark, ensemble trees evaluated via stratified k-fold cross-validation and Receiver Operating Characteristic Area Under the Curve (ROC-AUC) maximize sensitivity and precision under moderate class imbalance (25.14% high-emitter prevalence).</w:t>
      </w:r>
    </w:p>
    <w:p>
      <w:pPr>
        <w:spacing w:after="120" w:line="276" w:lineRule="auto"/>
        <w:jc w:val="left"/>
      </w:pPr>
      <w:r>
        <w:rPr>
          <w:rFonts w:ascii="Times New Roman" w:hAnsi="Times New Roman"/>
          <w:i w:val="0"/>
          <w:sz w:val="22"/>
        </w:rPr>
        <w:t>Theme 5: Unsupervised Fleet Taxonomy and Modern AI Extensions (Supporting RQ4 &amp; Future Scope). Finally, MacQueen (1967) established K-Means clustering as a mathematically tractable method for partitioning multidimensional observations into homogeneous operational regimes. When applied to log-transformed, Z-score standardized facility attributes and projected onto orthogonal axes via Principal Component Analysis (PCA), unsupervised clustering uncovers latent fleet archetypes without reliance on pre-assigned labels. Furthermore, recent advances in deep learning for temporal CEMS telemetry and agentic large language model (LLM) compliance assistants build directly upon structured tabular baselines, positioning the present analytical pipeline as a foundational layer for next-generation automated environmental governance.</w:t>
      </w:r>
    </w:p>
    <w:p>
      <w:pPr>
        <w:keepNext/>
        <w:spacing w:before="320" w:after="160"/>
        <w:jc w:val="center"/>
      </w:pPr>
      <w:r>
        <w:rPr>
          <w:rFonts w:ascii="Times New Roman" w:hAnsi="Times New Roman"/>
          <w:b/>
          <w:color w:val="0F2240"/>
          <w:sz w:val="28"/>
        </w:rPr>
        <w:t>3. Materials and Method</w:t>
      </w:r>
    </w:p>
    <w:p>
      <w:pPr>
        <w:keepNext/>
        <w:spacing w:before="240" w:after="120"/>
        <w:jc w:val="left"/>
      </w:pPr>
      <w:r>
        <w:rPr>
          <w:rFonts w:ascii="Times New Roman" w:hAnsi="Times New Roman"/>
          <w:b/>
          <w:color w:val="19375F"/>
          <w:sz w:val="24"/>
        </w:rPr>
        <w:t>Data Sources, Access, and Inclusion/Exclusion Criteria</w:t>
      </w:r>
    </w:p>
    <w:p>
      <w:pPr>
        <w:spacing w:after="120" w:line="276" w:lineRule="auto"/>
        <w:jc w:val="left"/>
      </w:pPr>
      <w:r>
        <w:rPr>
          <w:rFonts w:ascii="Times New Roman" w:hAnsi="Times New Roman"/>
          <w:i w:val="0"/>
          <w:sz w:val="22"/>
        </w:rPr>
        <w:t>Empirical observations examined in this study were obtained from the United States Environmental Protection Agency (EPA) Clean Air Markets Program Data (CAMPD) public repository (https://campd.epa.gov/data/bulk-data-files), utilizing the 2025 Facility and Unit Attributes bulk file (facility-2025.csv). Pursuant to federal regulations under 40 CFR Part 75, grid-connected electric generating units (EGUs)—principally boilers and combustion turbines surpassing 25 MWe nameplate capacity—must report verified engineering and abatement specifications to the EPA. Because the agency distributes structured comma-separated values (CSV) archives directly, unstructured HTML scraping was unnecessary.</w:t>
      </w:r>
    </w:p>
    <w:p>
      <w:pPr>
        <w:spacing w:after="120" w:line="276" w:lineRule="auto"/>
        <w:jc w:val="left"/>
      </w:pPr>
      <w:r>
        <w:rPr>
          <w:rFonts w:ascii="Times New Roman" w:hAnsi="Times New Roman"/>
          <w:i w:val="0"/>
          <w:sz w:val="22"/>
        </w:rPr>
        <w:t>The unmodified source table contains exactly N = 4,050 unit-level records situated across 1,328 distinct power plants in 52 U.S. jurisdictions (50 states, Washington D.C., and Puerto Rico) across 30 raw columns. Three formal inclusion and data-retention rules governed sample preparation: (1) every active and registered stationary generating unit in the 2025 CAMPD release was retained to ensure complete national coverage; (2) composite key integrity (Facility ID paired with Unit ID) was verified programmatically, confirming zero duplicate rows; and (3) rather than discarding rows with partial missingness in secondary fields—a practice that would bias the sample against smaller peaking turbines—technology-stratified median imputation was executed, preserving 100% of the population (N = 4,050 analyzed units, 0 rows dropped). Table 2 documents the schema and engineering rules for the primary attributes (see Appendix A for programmatic parsing routines).</w:t>
      </w:r>
    </w:p>
    <w:p>
      <w:pPr>
        <w:keepNext/>
        <w:spacing w:before="240" w:after="40"/>
      </w:pPr>
      <w:r>
        <w:rPr>
          <w:rFonts w:ascii="Times New Roman" w:hAnsi="Times New Roman"/>
          <w:b/>
          <w:sz w:val="22"/>
        </w:rPr>
        <w:t>Table 2</w:t>
      </w:r>
    </w:p>
    <w:p>
      <w:pPr>
        <w:keepNext/>
        <w:spacing w:before="0" w:after="120"/>
      </w:pPr>
      <w:r>
        <w:rPr>
          <w:rFonts w:ascii="Times New Roman" w:hAnsi="Times New Roman"/>
          <w:i/>
          <w:sz w:val="22"/>
        </w:rPr>
        <w:t>Comprehensive Schema and Data Dictionary for CAMPD Generating Unit Attributes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Variable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Attribute Description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Data Format</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Observed Domain / Range</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Imputation Rule</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Modeling Role</w:t>
            </w:r>
          </w:p>
        </w:tc>
      </w:tr>
      <w:tr>
        <w:tc>
          <w:tcPr>
            <w:tcW w:type="dxa" w:w="1584"/>
          </w:tcPr>
          <w:p>
            <w:pPr>
              <w:spacing w:before="40" w:after="40" w:line="252" w:lineRule="auto"/>
              <w:jc w:val="left"/>
            </w:pPr>
            <w:r>
              <w:rPr>
                <w:rFonts w:ascii="Times New Roman" w:hAnsi="Times New Roman"/>
                <w:sz w:val="18"/>
              </w:rPr>
              <w:t>State</w:t>
            </w:r>
          </w:p>
        </w:tc>
        <w:tc>
          <w:tcPr>
            <w:tcW w:type="dxa" w:w="2016"/>
          </w:tcPr>
          <w:p>
            <w:pPr>
              <w:spacing w:before="40" w:after="40" w:line="252" w:lineRule="auto"/>
              <w:jc w:val="left"/>
            </w:pPr>
            <w:r>
              <w:rPr>
                <w:rFonts w:ascii="Times New Roman" w:hAnsi="Times New Roman"/>
                <w:sz w:val="18"/>
              </w:rPr>
              <w:t>Two-letter postal abbreviation of plant location</w:t>
            </w:r>
          </w:p>
        </w:tc>
        <w:tc>
          <w:tcPr>
            <w:tcW w:type="dxa" w:w="1296"/>
          </w:tcPr>
          <w:p>
            <w:pPr>
              <w:spacing w:before="40" w:after="40" w:line="252" w:lineRule="auto"/>
              <w:jc w:val="left"/>
            </w:pPr>
            <w:r>
              <w:rPr>
                <w:rFonts w:ascii="Times New Roman" w:hAnsi="Times New Roman"/>
                <w:sz w:val="18"/>
              </w:rPr>
              <w:t>Categorical String</w:t>
            </w:r>
          </w:p>
        </w:tc>
        <w:tc>
          <w:tcPr>
            <w:tcW w:type="dxa" w:w="1584"/>
          </w:tcPr>
          <w:p>
            <w:pPr>
              <w:spacing w:before="40" w:after="40" w:line="252" w:lineRule="auto"/>
              <w:jc w:val="left"/>
            </w:pPr>
            <w:r>
              <w:rPr>
                <w:rFonts w:ascii="Times New Roman" w:hAnsi="Times New Roman"/>
                <w:sz w:val="18"/>
              </w:rPr>
              <w:t>52 U.S. jurisdictions</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Designates state regulatory authority.</w:t>
            </w:r>
          </w:p>
        </w:tc>
      </w:tr>
      <w:tr>
        <w:tc>
          <w:tcPr>
            <w:tcW w:type="dxa" w:w="1584"/>
            <w:shd w:fill="FAFAFA"/>
          </w:tcPr>
          <w:p>
            <w:pPr>
              <w:spacing w:before="40" w:after="40" w:line="252" w:lineRule="auto"/>
              <w:jc w:val="left"/>
            </w:pPr>
            <w:r>
              <w:rPr>
                <w:rFonts w:ascii="Times New Roman" w:hAnsi="Times New Roman"/>
                <w:sz w:val="18"/>
              </w:rPr>
              <w:t>Facility ID</w:t>
            </w:r>
          </w:p>
        </w:tc>
        <w:tc>
          <w:tcPr>
            <w:tcW w:type="dxa" w:w="2016"/>
            <w:shd w:fill="FAFAFA"/>
          </w:tcPr>
          <w:p>
            <w:pPr>
              <w:spacing w:before="40" w:after="40" w:line="252" w:lineRule="auto"/>
              <w:jc w:val="left"/>
            </w:pPr>
            <w:r>
              <w:rPr>
                <w:rFonts w:ascii="Times New Roman" w:hAnsi="Times New Roman"/>
                <w:sz w:val="18"/>
              </w:rPr>
              <w:t>Federal ORISPL power plant identification code</w:t>
            </w:r>
          </w:p>
        </w:tc>
        <w:tc>
          <w:tcPr>
            <w:tcW w:type="dxa" w:w="1296"/>
            <w:shd w:fill="FAFAFA"/>
          </w:tcPr>
          <w:p>
            <w:pPr>
              <w:spacing w:before="40" w:after="40" w:line="252" w:lineRule="auto"/>
              <w:jc w:val="left"/>
            </w:pPr>
            <w:r>
              <w:rPr>
                <w:rFonts w:ascii="Times New Roman" w:hAnsi="Times New Roman"/>
                <w:sz w:val="18"/>
              </w:rPr>
              <w:t>Integer ID</w:t>
            </w:r>
          </w:p>
        </w:tc>
        <w:tc>
          <w:tcPr>
            <w:tcW w:type="dxa" w:w="1584"/>
            <w:shd w:fill="FAFAFA"/>
          </w:tcPr>
          <w:p>
            <w:pPr>
              <w:spacing w:before="40" w:after="40" w:line="252" w:lineRule="auto"/>
              <w:jc w:val="left"/>
            </w:pPr>
            <w:r>
              <w:rPr>
                <w:rFonts w:ascii="Times New Roman" w:hAnsi="Times New Roman"/>
                <w:sz w:val="18"/>
              </w:rPr>
              <w:t>Range: 3 to 67540</w:t>
            </w:r>
          </w:p>
        </w:tc>
        <w:tc>
          <w:tcPr>
            <w:tcW w:type="dxa" w:w="1728"/>
            <w:shd w:fill="FAFAFA"/>
          </w:tcPr>
          <w:p>
            <w:pPr>
              <w:spacing w:before="40" w:after="40" w:line="252" w:lineRule="auto"/>
              <w:jc w:val="left"/>
            </w:pPr>
            <w:r>
              <w:rPr>
                <w:rFonts w:ascii="Times New Roman" w:hAnsi="Times New Roman"/>
                <w:sz w:val="18"/>
              </w:rPr>
              <w:t>Complete (0 missing)</w:t>
            </w:r>
          </w:p>
        </w:tc>
        <w:tc>
          <w:tcPr>
            <w:tcW w:type="dxa" w:w="1872"/>
            <w:shd w:fill="FAFAFA"/>
          </w:tcPr>
          <w:p>
            <w:pPr>
              <w:spacing w:before="40" w:after="40" w:line="252" w:lineRule="auto"/>
              <w:jc w:val="left"/>
            </w:pPr>
            <w:r>
              <w:rPr>
                <w:rFonts w:ascii="Times New Roman" w:hAnsi="Times New Roman"/>
                <w:sz w:val="18"/>
              </w:rPr>
              <w:t>Plant-level grouping key across 1,328 facilities.</w:t>
            </w:r>
          </w:p>
        </w:tc>
      </w:tr>
      <w:tr>
        <w:tc>
          <w:tcPr>
            <w:tcW w:type="dxa" w:w="1584"/>
          </w:tcPr>
          <w:p>
            <w:pPr>
              <w:spacing w:before="40" w:after="40" w:line="252" w:lineRule="auto"/>
              <w:jc w:val="left"/>
            </w:pPr>
            <w:r>
              <w:rPr>
                <w:rFonts w:ascii="Times New Roman" w:hAnsi="Times New Roman"/>
                <w:sz w:val="18"/>
              </w:rPr>
              <w:t>Facility Name</w:t>
            </w:r>
          </w:p>
        </w:tc>
        <w:tc>
          <w:tcPr>
            <w:tcW w:type="dxa" w:w="2016"/>
          </w:tcPr>
          <w:p>
            <w:pPr>
              <w:spacing w:before="40" w:after="40" w:line="252" w:lineRule="auto"/>
              <w:jc w:val="left"/>
            </w:pPr>
            <w:r>
              <w:rPr>
                <w:rFonts w:ascii="Times New Roman" w:hAnsi="Times New Roman"/>
                <w:sz w:val="18"/>
              </w:rPr>
              <w:t>Registered commercial name of power station</w:t>
            </w:r>
          </w:p>
        </w:tc>
        <w:tc>
          <w:tcPr>
            <w:tcW w:type="dxa" w:w="1296"/>
          </w:tcPr>
          <w:p>
            <w:pPr>
              <w:spacing w:before="40" w:after="40" w:line="252" w:lineRule="auto"/>
              <w:jc w:val="left"/>
            </w:pPr>
            <w:r>
              <w:rPr>
                <w:rFonts w:ascii="Times New Roman" w:hAnsi="Times New Roman"/>
                <w:sz w:val="18"/>
              </w:rPr>
              <w:t>Text String</w:t>
            </w:r>
          </w:p>
        </w:tc>
        <w:tc>
          <w:tcPr>
            <w:tcW w:type="dxa" w:w="1584"/>
          </w:tcPr>
          <w:p>
            <w:pPr>
              <w:spacing w:before="40" w:after="40" w:line="252" w:lineRule="auto"/>
              <w:jc w:val="left"/>
            </w:pPr>
            <w:r>
              <w:rPr>
                <w:rFonts w:ascii="Times New Roman" w:hAnsi="Times New Roman"/>
                <w:sz w:val="18"/>
              </w:rPr>
              <w:t>1,325 distinct plant names</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Identifies operating utility station.</w:t>
            </w:r>
          </w:p>
        </w:tc>
      </w:tr>
      <w:tr>
        <w:tc>
          <w:tcPr>
            <w:tcW w:type="dxa" w:w="1584"/>
            <w:shd w:fill="FAFAFA"/>
          </w:tcPr>
          <w:p>
            <w:pPr>
              <w:spacing w:before="40" w:after="40" w:line="252" w:lineRule="auto"/>
              <w:jc w:val="left"/>
            </w:pPr>
            <w:r>
              <w:rPr>
                <w:rFonts w:ascii="Times New Roman" w:hAnsi="Times New Roman"/>
                <w:sz w:val="18"/>
              </w:rPr>
              <w:t>Unit ID</w:t>
            </w:r>
          </w:p>
        </w:tc>
        <w:tc>
          <w:tcPr>
            <w:tcW w:type="dxa" w:w="2016"/>
            <w:shd w:fill="FAFAFA"/>
          </w:tcPr>
          <w:p>
            <w:pPr>
              <w:spacing w:before="40" w:after="40" w:line="252" w:lineRule="auto"/>
              <w:jc w:val="left"/>
            </w:pPr>
            <w:r>
              <w:rPr>
                <w:rFonts w:ascii="Times New Roman" w:hAnsi="Times New Roman"/>
                <w:sz w:val="18"/>
              </w:rPr>
              <w:t>Alphanumeric boiler or turbine identifier within plant</w:t>
            </w:r>
          </w:p>
        </w:tc>
        <w:tc>
          <w:tcPr>
            <w:tcW w:type="dxa" w:w="1296"/>
            <w:shd w:fill="FAFAFA"/>
          </w:tcPr>
          <w:p>
            <w:pPr>
              <w:spacing w:before="40" w:after="40" w:line="252" w:lineRule="auto"/>
              <w:jc w:val="left"/>
            </w:pPr>
            <w:r>
              <w:rPr>
                <w:rFonts w:ascii="Times New Roman" w:hAnsi="Times New Roman"/>
                <w:sz w:val="18"/>
              </w:rPr>
              <w:t>Alphanumeric String</w:t>
            </w:r>
          </w:p>
        </w:tc>
        <w:tc>
          <w:tcPr>
            <w:tcW w:type="dxa" w:w="1584"/>
            <w:shd w:fill="FAFAFA"/>
          </w:tcPr>
          <w:p>
            <w:pPr>
              <w:spacing w:before="40" w:after="40" w:line="252" w:lineRule="auto"/>
              <w:jc w:val="left"/>
            </w:pPr>
            <w:r>
              <w:rPr>
                <w:rFonts w:ascii="Times New Roman" w:hAnsi="Times New Roman"/>
                <w:sz w:val="18"/>
              </w:rPr>
              <w:t>1,412 distinct unit codes</w:t>
            </w:r>
          </w:p>
        </w:tc>
        <w:tc>
          <w:tcPr>
            <w:tcW w:type="dxa" w:w="1728"/>
            <w:shd w:fill="FAFAFA"/>
          </w:tcPr>
          <w:p>
            <w:pPr>
              <w:spacing w:before="40" w:after="40" w:line="252" w:lineRule="auto"/>
              <w:jc w:val="left"/>
            </w:pPr>
            <w:r>
              <w:rPr>
                <w:rFonts w:ascii="Times New Roman" w:hAnsi="Times New Roman"/>
                <w:sz w:val="18"/>
              </w:rPr>
              <w:t>Complete (0 missing)</w:t>
            </w:r>
          </w:p>
        </w:tc>
        <w:tc>
          <w:tcPr>
            <w:tcW w:type="dxa" w:w="1872"/>
            <w:shd w:fill="FAFAFA"/>
          </w:tcPr>
          <w:p>
            <w:pPr>
              <w:spacing w:before="40" w:after="40" w:line="252" w:lineRule="auto"/>
              <w:jc w:val="left"/>
            </w:pPr>
            <w:r>
              <w:rPr>
                <w:rFonts w:ascii="Times New Roman" w:hAnsi="Times New Roman"/>
                <w:sz w:val="18"/>
              </w:rPr>
              <w:t>Forms composite primary key with Facility ID (N=4,050).</w:t>
            </w:r>
          </w:p>
        </w:tc>
      </w:tr>
      <w:tr>
        <w:tc>
          <w:tcPr>
            <w:tcW w:type="dxa" w:w="1584"/>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Administrative EPA regional office (Regions 1–10)</w:t>
            </w:r>
          </w:p>
        </w:tc>
        <w:tc>
          <w:tcPr>
            <w:tcW w:type="dxa" w:w="1296"/>
          </w:tcPr>
          <w:p>
            <w:pPr>
              <w:spacing w:before="40" w:after="40" w:line="252" w:lineRule="auto"/>
              <w:jc w:val="left"/>
            </w:pPr>
            <w:r>
              <w:rPr>
                <w:rFonts w:ascii="Times New Roman" w:hAnsi="Times New Roman"/>
                <w:sz w:val="18"/>
              </w:rPr>
              <w:t>Categorical Integer</w:t>
            </w:r>
          </w:p>
        </w:tc>
        <w:tc>
          <w:tcPr>
            <w:tcW w:type="dxa" w:w="1584"/>
          </w:tcPr>
          <w:p>
            <w:pPr>
              <w:spacing w:before="40" w:after="40" w:line="252" w:lineRule="auto"/>
              <w:jc w:val="left"/>
            </w:pPr>
            <w:r>
              <w:rPr>
                <w:rFonts w:ascii="Times New Roman" w:hAnsi="Times New Roman"/>
                <w:sz w:val="18"/>
              </w:rPr>
              <w:t>Integer values 1 through 10</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Dummy-encoded to capture regional enforcement differences.</w:t>
            </w:r>
          </w:p>
        </w:tc>
      </w:tr>
      <w:tr>
        <w:tc>
          <w:tcPr>
            <w:tcW w:type="dxa" w:w="1584"/>
            <w:shd w:fill="FAFAFA"/>
          </w:tcPr>
          <w:p>
            <w:pPr>
              <w:spacing w:before="40" w:after="40" w:line="252" w:lineRule="auto"/>
              <w:jc w:val="left"/>
            </w:pPr>
            <w:r>
              <w:rPr>
                <w:rFonts w:ascii="Times New Roman" w:hAnsi="Times New Roman"/>
                <w:sz w:val="18"/>
              </w:rPr>
              <w:t>Unit Type</w:t>
            </w:r>
          </w:p>
        </w:tc>
        <w:tc>
          <w:tcPr>
            <w:tcW w:type="dxa" w:w="2016"/>
            <w:shd w:fill="FAFAFA"/>
          </w:tcPr>
          <w:p>
            <w:pPr>
              <w:spacing w:before="40" w:after="40" w:line="252" w:lineRule="auto"/>
              <w:jc w:val="left"/>
            </w:pPr>
            <w:r>
              <w:rPr>
                <w:rFonts w:ascii="Times New Roman" w:hAnsi="Times New Roman"/>
                <w:sz w:val="18"/>
              </w:rPr>
              <w:t>Boiler furnace or turbine thermodynamic design</w:t>
            </w:r>
          </w:p>
        </w:tc>
        <w:tc>
          <w:tcPr>
            <w:tcW w:type="dxa" w:w="1296"/>
            <w:shd w:fill="FAFAFA"/>
          </w:tcPr>
          <w:p>
            <w:pPr>
              <w:spacing w:before="40" w:after="40" w:line="252" w:lineRule="auto"/>
              <w:jc w:val="left"/>
            </w:pPr>
            <w:r>
              <w:rPr>
                <w:rFonts w:ascii="Times New Roman" w:hAnsi="Times New Roman"/>
                <w:sz w:val="18"/>
              </w:rPr>
              <w:t>Categorical String</w:t>
            </w:r>
          </w:p>
        </w:tc>
        <w:tc>
          <w:tcPr>
            <w:tcW w:type="dxa" w:w="1584"/>
            <w:shd w:fill="FAFAFA"/>
          </w:tcPr>
          <w:p>
            <w:pPr>
              <w:spacing w:before="40" w:after="40" w:line="252" w:lineRule="auto"/>
              <w:jc w:val="left"/>
            </w:pPr>
            <w:r>
              <w:rPr>
                <w:rFonts w:ascii="Times New Roman" w:hAnsi="Times New Roman"/>
                <w:sz w:val="18"/>
              </w:rPr>
              <w:t>33 detailed EPA codes</w:t>
            </w:r>
          </w:p>
        </w:tc>
        <w:tc>
          <w:tcPr>
            <w:tcW w:type="dxa" w:w="1728"/>
            <w:shd w:fill="FAFAFA"/>
          </w:tcPr>
          <w:p>
            <w:pPr>
              <w:spacing w:before="40" w:after="40" w:line="252" w:lineRule="auto"/>
              <w:jc w:val="left"/>
            </w:pPr>
            <w:r>
              <w:rPr>
                <w:rFonts w:ascii="Times New Roman" w:hAnsi="Times New Roman"/>
                <w:sz w:val="18"/>
              </w:rPr>
              <w:t>Complete (0 missing)</w:t>
            </w:r>
          </w:p>
        </w:tc>
        <w:tc>
          <w:tcPr>
            <w:tcW w:type="dxa" w:w="1872"/>
            <w:shd w:fill="FAFAFA"/>
          </w:tcPr>
          <w:p>
            <w:pPr>
              <w:spacing w:before="40" w:after="40" w:line="252" w:lineRule="auto"/>
              <w:jc w:val="left"/>
            </w:pPr>
            <w:r>
              <w:rPr>
                <w:rFonts w:ascii="Times New Roman" w:hAnsi="Times New Roman"/>
                <w:sz w:val="18"/>
              </w:rPr>
              <w:t>Grouped into 5 major combustion technology classes.</w:t>
            </w:r>
          </w:p>
        </w:tc>
      </w:tr>
      <w:tr>
        <w:tc>
          <w:tcPr>
            <w:tcW w:type="dxa" w:w="1584"/>
          </w:tcPr>
          <w:p>
            <w:pPr>
              <w:spacing w:before="40" w:after="40" w:line="252" w:lineRule="auto"/>
              <w:jc w:val="left"/>
            </w:pPr>
            <w:r>
              <w:rPr>
                <w:rFonts w:ascii="Times New Roman" w:hAnsi="Times New Roman"/>
                <w:sz w:val="18"/>
              </w:rPr>
              <w:t>Primary Fuel Type</w:t>
            </w:r>
          </w:p>
        </w:tc>
        <w:tc>
          <w:tcPr>
            <w:tcW w:type="dxa" w:w="2016"/>
          </w:tcPr>
          <w:p>
            <w:pPr>
              <w:spacing w:before="40" w:after="40" w:line="252" w:lineRule="auto"/>
              <w:jc w:val="left"/>
            </w:pPr>
            <w:r>
              <w:rPr>
                <w:rFonts w:ascii="Times New Roman" w:hAnsi="Times New Roman"/>
                <w:sz w:val="18"/>
              </w:rPr>
              <w:t>Principal fuel burned during generation</w:t>
            </w:r>
          </w:p>
        </w:tc>
        <w:tc>
          <w:tcPr>
            <w:tcW w:type="dxa" w:w="1296"/>
          </w:tcPr>
          <w:p>
            <w:pPr>
              <w:spacing w:before="40" w:after="40" w:line="252" w:lineRule="auto"/>
              <w:jc w:val="left"/>
            </w:pPr>
            <w:r>
              <w:rPr>
                <w:rFonts w:ascii="Times New Roman" w:hAnsi="Times New Roman"/>
                <w:sz w:val="18"/>
              </w:rPr>
              <w:t>Categorical String</w:t>
            </w:r>
          </w:p>
        </w:tc>
        <w:tc>
          <w:tcPr>
            <w:tcW w:type="dxa" w:w="1584"/>
          </w:tcPr>
          <w:p>
            <w:pPr>
              <w:spacing w:before="40" w:after="40" w:line="252" w:lineRule="auto"/>
              <w:jc w:val="left"/>
            </w:pPr>
            <w:r>
              <w:rPr>
                <w:rFonts w:ascii="Times New Roman" w:hAnsi="Times New Roman"/>
                <w:sz w:val="18"/>
              </w:rPr>
              <w:t>12 raw EPA fuel codes</w:t>
            </w:r>
          </w:p>
        </w:tc>
        <w:tc>
          <w:tcPr>
            <w:tcW w:type="dxa" w:w="1728"/>
          </w:tcPr>
          <w:p>
            <w:pPr>
              <w:spacing w:before="40" w:after="40" w:line="252" w:lineRule="auto"/>
              <w:jc w:val="left"/>
            </w:pPr>
            <w:r>
              <w:rPr>
                <w:rFonts w:ascii="Times New Roman" w:hAnsi="Times New Roman"/>
                <w:sz w:val="18"/>
              </w:rPr>
              <w:t>44 blank rows mapped to Other</w:t>
            </w:r>
          </w:p>
        </w:tc>
        <w:tc>
          <w:tcPr>
            <w:tcW w:type="dxa" w:w="1872"/>
          </w:tcPr>
          <w:p>
            <w:pPr>
              <w:spacing w:before="40" w:after="40" w:line="252" w:lineRule="auto"/>
              <w:jc w:val="left"/>
            </w:pPr>
            <w:r>
              <w:rPr>
                <w:rFonts w:ascii="Times New Roman" w:hAnsi="Times New Roman"/>
                <w:sz w:val="18"/>
              </w:rPr>
              <w:t>Aggregated into 5 core fuel classes for RQ1 &amp; RQ2.</w:t>
            </w:r>
          </w:p>
        </w:tc>
      </w:tr>
      <w:tr>
        <w:tc>
          <w:tcPr>
            <w:tcW w:type="dxa" w:w="1584"/>
            <w:shd w:fill="FAFAFA"/>
          </w:tcPr>
          <w:p>
            <w:pPr>
              <w:spacing w:before="40" w:after="40" w:line="252" w:lineRule="auto"/>
              <w:jc w:val="left"/>
            </w:pPr>
            <w:r>
              <w:rPr>
                <w:rFonts w:ascii="Times New Roman" w:hAnsi="Times New Roman"/>
                <w:sz w:val="18"/>
              </w:rPr>
              <w:t>Associated Generators &amp; Capacity</w:t>
            </w:r>
          </w:p>
        </w:tc>
        <w:tc>
          <w:tcPr>
            <w:tcW w:type="dxa" w:w="2016"/>
            <w:shd w:fill="FAFAFA"/>
          </w:tcPr>
          <w:p>
            <w:pPr>
              <w:spacing w:before="40" w:after="40" w:line="252" w:lineRule="auto"/>
              <w:jc w:val="left"/>
            </w:pPr>
            <w:r>
              <w:rPr>
                <w:rFonts w:ascii="Times New Roman" w:hAnsi="Times New Roman"/>
                <w:sz w:val="18"/>
              </w:rPr>
              <w:t>Text string listing generator IDs and MWe ratings</w:t>
            </w:r>
          </w:p>
        </w:tc>
        <w:tc>
          <w:tcPr>
            <w:tcW w:type="dxa" w:w="1296"/>
            <w:shd w:fill="FAFAFA"/>
          </w:tcPr>
          <w:p>
            <w:pPr>
              <w:spacing w:before="40" w:after="40" w:line="252" w:lineRule="auto"/>
              <w:jc w:val="left"/>
            </w:pPr>
            <w:r>
              <w:rPr>
                <w:rFonts w:ascii="Times New Roman" w:hAnsi="Times New Roman"/>
                <w:sz w:val="18"/>
              </w:rPr>
              <w:t>Alphanumeric Text</w:t>
            </w:r>
          </w:p>
        </w:tc>
        <w:tc>
          <w:tcPr>
            <w:tcW w:type="dxa" w:w="1584"/>
            <w:shd w:fill="FAFAFA"/>
          </w:tcPr>
          <w:p>
            <w:pPr>
              <w:spacing w:before="40" w:after="40" w:line="252" w:lineRule="auto"/>
              <w:jc w:val="left"/>
            </w:pPr>
            <w:r>
              <w:rPr>
                <w:rFonts w:ascii="Times New Roman" w:hAnsi="Times New Roman"/>
                <w:sz w:val="18"/>
              </w:rPr>
              <w:t>Example: 'GEN1 (153.1)'</w:t>
            </w:r>
          </w:p>
        </w:tc>
        <w:tc>
          <w:tcPr>
            <w:tcW w:type="dxa" w:w="1728"/>
            <w:shd w:fill="FAFAFA"/>
          </w:tcPr>
          <w:p>
            <w:pPr>
              <w:spacing w:before="40" w:after="40" w:line="252" w:lineRule="auto"/>
              <w:jc w:val="left"/>
            </w:pPr>
            <w:r>
              <w:rPr>
                <w:rFonts w:ascii="Times New Roman" w:hAnsi="Times New Roman"/>
                <w:sz w:val="18"/>
              </w:rPr>
              <w:t>150 missing (3.70% median-imputed)</w:t>
            </w:r>
          </w:p>
        </w:tc>
        <w:tc>
          <w:tcPr>
            <w:tcW w:type="dxa" w:w="1872"/>
            <w:shd w:fill="FAFAFA"/>
          </w:tcPr>
          <w:p>
            <w:pPr>
              <w:spacing w:before="40" w:after="40" w:line="252" w:lineRule="auto"/>
              <w:jc w:val="left"/>
            </w:pPr>
            <w:r>
              <w:rPr>
                <w:rFonts w:ascii="Times New Roman" w:hAnsi="Times New Roman"/>
                <w:sz w:val="18"/>
              </w:rPr>
              <w:t>Regex-parsed to derive numeric Capacity_MW.</w:t>
            </w:r>
          </w:p>
        </w:tc>
      </w:tr>
      <w:tr>
        <w:tc>
          <w:tcPr>
            <w:tcW w:type="dxa" w:w="1584"/>
          </w:tcPr>
          <w:p>
            <w:pPr>
              <w:spacing w:before="40" w:after="40" w:line="252" w:lineRule="auto"/>
              <w:jc w:val="left"/>
            </w:pPr>
            <w:r>
              <w:rPr>
                <w:rFonts w:ascii="Times New Roman" w:hAnsi="Times New Roman"/>
                <w:sz w:val="18"/>
              </w:rPr>
              <w:t>Max Hourly HI Rate (mmBtu/hr)</w:t>
            </w:r>
          </w:p>
        </w:tc>
        <w:tc>
          <w:tcPr>
            <w:tcW w:type="dxa" w:w="2016"/>
          </w:tcPr>
          <w:p>
            <w:pPr>
              <w:spacing w:before="40" w:after="40" w:line="252" w:lineRule="auto"/>
              <w:jc w:val="left"/>
            </w:pPr>
            <w:r>
              <w:rPr>
                <w:rFonts w:ascii="Times New Roman" w:hAnsi="Times New Roman"/>
                <w:sz w:val="18"/>
              </w:rPr>
              <w:t>Maximum design hourly thermal input rate</w:t>
            </w:r>
          </w:p>
        </w:tc>
        <w:tc>
          <w:tcPr>
            <w:tcW w:type="dxa" w:w="1296"/>
          </w:tcPr>
          <w:p>
            <w:pPr>
              <w:spacing w:before="40" w:after="40" w:line="252" w:lineRule="auto"/>
              <w:jc w:val="left"/>
            </w:pPr>
            <w:r>
              <w:rPr>
                <w:rFonts w:ascii="Times New Roman" w:hAnsi="Times New Roman"/>
                <w:sz w:val="18"/>
              </w:rPr>
              <w:t>Continuous Float</w:t>
            </w:r>
          </w:p>
        </w:tc>
        <w:tc>
          <w:tcPr>
            <w:tcW w:type="dxa" w:w="1584"/>
          </w:tcPr>
          <w:p>
            <w:pPr>
              <w:spacing w:before="40" w:after="40" w:line="252" w:lineRule="auto"/>
              <w:jc w:val="left"/>
            </w:pPr>
            <w:r>
              <w:rPr>
                <w:rFonts w:ascii="Times New Roman" w:hAnsi="Times New Roman"/>
                <w:sz w:val="18"/>
              </w:rPr>
              <w:t>94.0 to 16,250.0 mmBtu/hr</w:t>
            </w:r>
          </w:p>
        </w:tc>
        <w:tc>
          <w:tcPr>
            <w:tcW w:type="dxa" w:w="1728"/>
          </w:tcPr>
          <w:p>
            <w:pPr>
              <w:spacing w:before="40" w:after="40" w:line="252" w:lineRule="auto"/>
              <w:jc w:val="left"/>
            </w:pPr>
            <w:r>
              <w:rPr>
                <w:rFonts w:ascii="Times New Roman" w:hAnsi="Times New Roman"/>
                <w:sz w:val="18"/>
              </w:rPr>
              <w:t>44 missing (1.09% ratio-imputed)</w:t>
            </w:r>
          </w:p>
        </w:tc>
        <w:tc>
          <w:tcPr>
            <w:tcW w:type="dxa" w:w="1872"/>
          </w:tcPr>
          <w:p>
            <w:pPr>
              <w:spacing w:before="40" w:after="40" w:line="252" w:lineRule="auto"/>
              <w:jc w:val="left"/>
            </w:pPr>
            <w:r>
              <w:rPr>
                <w:rFonts w:ascii="Times New Roman" w:hAnsi="Times New Roman"/>
                <w:sz w:val="18"/>
              </w:rPr>
              <w:t>Continuous response variable Y in RQ1 and RQ3.</w:t>
            </w:r>
          </w:p>
        </w:tc>
      </w:tr>
      <w:tr>
        <w:tc>
          <w:tcPr>
            <w:tcW w:type="dxa" w:w="1584"/>
            <w:shd w:fill="FAFAFA"/>
          </w:tcPr>
          <w:p>
            <w:pPr>
              <w:spacing w:before="40" w:after="40" w:line="252" w:lineRule="auto"/>
              <w:jc w:val="left"/>
            </w:pPr>
            <w:r>
              <w:rPr>
                <w:rFonts w:ascii="Times New Roman" w:hAnsi="Times New Roman"/>
                <w:sz w:val="18"/>
              </w:rPr>
              <w:t>Commercial Operation Date</w:t>
            </w:r>
          </w:p>
        </w:tc>
        <w:tc>
          <w:tcPr>
            <w:tcW w:type="dxa" w:w="2016"/>
            <w:shd w:fill="FAFAFA"/>
          </w:tcPr>
          <w:p>
            <w:pPr>
              <w:spacing w:before="40" w:after="40" w:line="252" w:lineRule="auto"/>
              <w:jc w:val="left"/>
            </w:pPr>
            <w:r>
              <w:rPr>
                <w:rFonts w:ascii="Times New Roman" w:hAnsi="Times New Roman"/>
                <w:sz w:val="18"/>
              </w:rPr>
              <w:t>Calendar date of initial commercial electricity dispatch</w:t>
            </w:r>
          </w:p>
        </w:tc>
        <w:tc>
          <w:tcPr>
            <w:tcW w:type="dxa" w:w="1296"/>
            <w:shd w:fill="FAFAFA"/>
          </w:tcPr>
          <w:p>
            <w:pPr>
              <w:spacing w:before="40" w:after="40" w:line="252" w:lineRule="auto"/>
              <w:jc w:val="left"/>
            </w:pPr>
            <w:r>
              <w:rPr>
                <w:rFonts w:ascii="Times New Roman" w:hAnsi="Times New Roman"/>
                <w:sz w:val="18"/>
              </w:rPr>
              <w:t>Date String</w:t>
            </w:r>
          </w:p>
        </w:tc>
        <w:tc>
          <w:tcPr>
            <w:tcW w:type="dxa" w:w="1584"/>
            <w:shd w:fill="FAFAFA"/>
          </w:tcPr>
          <w:p>
            <w:pPr>
              <w:spacing w:before="40" w:after="40" w:line="252" w:lineRule="auto"/>
              <w:jc w:val="left"/>
            </w:pPr>
            <w:r>
              <w:rPr>
                <w:rFonts w:ascii="Times New Roman" w:hAnsi="Times New Roman"/>
                <w:sz w:val="18"/>
              </w:rPr>
              <w:t>1930-01-01 through 2025-11-23</w:t>
            </w:r>
          </w:p>
        </w:tc>
        <w:tc>
          <w:tcPr>
            <w:tcW w:type="dxa" w:w="1728"/>
            <w:shd w:fill="FAFAFA"/>
          </w:tcPr>
          <w:p>
            <w:pPr>
              <w:spacing w:before="40" w:after="40" w:line="252" w:lineRule="auto"/>
              <w:jc w:val="left"/>
            </w:pPr>
            <w:r>
              <w:rPr>
                <w:rFonts w:ascii="Times New Roman" w:hAnsi="Times New Roman"/>
                <w:sz w:val="18"/>
              </w:rPr>
              <w:t>36 missing (0.89% median-imputed)</w:t>
            </w:r>
          </w:p>
        </w:tc>
        <w:tc>
          <w:tcPr>
            <w:tcW w:type="dxa" w:w="1872"/>
            <w:shd w:fill="FAFAFA"/>
          </w:tcPr>
          <w:p>
            <w:pPr>
              <w:spacing w:before="40" w:after="40" w:line="252" w:lineRule="auto"/>
              <w:jc w:val="left"/>
            </w:pPr>
            <w:r>
              <w:rPr>
                <w:rFonts w:ascii="Times New Roman" w:hAnsi="Times New Roman"/>
                <w:sz w:val="18"/>
              </w:rPr>
              <w:t>Transformed into Unit_Age = 2025 minus startup year.</w:t>
            </w:r>
          </w:p>
        </w:tc>
      </w:tr>
      <w:tr>
        <w:tc>
          <w:tcPr>
            <w:tcW w:type="dxa" w:w="1584"/>
          </w:tcPr>
          <w:p>
            <w:pPr>
              <w:spacing w:before="40" w:after="40" w:line="252" w:lineRule="auto"/>
              <w:jc w:val="left"/>
            </w:pPr>
            <w:r>
              <w:rPr>
                <w:rFonts w:ascii="Times New Roman" w:hAnsi="Times New Roman"/>
                <w:sz w:val="18"/>
              </w:rPr>
              <w:t>Operating Status</w:t>
            </w:r>
          </w:p>
        </w:tc>
        <w:tc>
          <w:tcPr>
            <w:tcW w:type="dxa" w:w="2016"/>
          </w:tcPr>
          <w:p>
            <w:pPr>
              <w:spacing w:before="40" w:after="40" w:line="252" w:lineRule="auto"/>
              <w:jc w:val="left"/>
            </w:pPr>
            <w:r>
              <w:rPr>
                <w:rFonts w:ascii="Times New Roman" w:hAnsi="Times New Roman"/>
                <w:sz w:val="18"/>
              </w:rPr>
              <w:t>Regulatory operating designation in 2025</w:t>
            </w:r>
          </w:p>
        </w:tc>
        <w:tc>
          <w:tcPr>
            <w:tcW w:type="dxa" w:w="1296"/>
          </w:tcPr>
          <w:p>
            <w:pPr>
              <w:spacing w:before="40" w:after="40" w:line="252" w:lineRule="auto"/>
              <w:jc w:val="left"/>
            </w:pPr>
            <w:r>
              <w:rPr>
                <w:rFonts w:ascii="Times New Roman" w:hAnsi="Times New Roman"/>
                <w:sz w:val="18"/>
              </w:rPr>
              <w:t>Categorical String</w:t>
            </w:r>
          </w:p>
        </w:tc>
        <w:tc>
          <w:tcPr>
            <w:tcW w:type="dxa" w:w="1584"/>
          </w:tcPr>
          <w:p>
            <w:pPr>
              <w:spacing w:before="40" w:after="40" w:line="252" w:lineRule="auto"/>
              <w:jc w:val="left"/>
            </w:pPr>
            <w:r>
              <w:rPr>
                <w:rFonts w:ascii="Times New Roman" w:hAnsi="Times New Roman"/>
                <w:sz w:val="18"/>
              </w:rPr>
              <w:t>Operating, Retired, Future</w:t>
            </w:r>
          </w:p>
        </w:tc>
        <w:tc>
          <w:tcPr>
            <w:tcW w:type="dxa" w:w="1728"/>
          </w:tcPr>
          <w:p>
            <w:pPr>
              <w:spacing w:before="40" w:after="40" w:line="252" w:lineRule="auto"/>
              <w:jc w:val="left"/>
            </w:pPr>
            <w:r>
              <w:rPr>
                <w:rFonts w:ascii="Times New Roman" w:hAnsi="Times New Roman"/>
                <w:sz w:val="18"/>
              </w:rPr>
              <w:t>Complete (0 missing)</w:t>
            </w:r>
          </w:p>
        </w:tc>
        <w:tc>
          <w:tcPr>
            <w:tcW w:type="dxa" w:w="1872"/>
          </w:tcPr>
          <w:p>
            <w:pPr>
              <w:spacing w:before="40" w:after="40" w:line="252" w:lineRule="auto"/>
              <w:jc w:val="left"/>
            </w:pPr>
            <w:r>
              <w:rPr>
                <w:rFonts w:ascii="Times New Roman" w:hAnsi="Times New Roman"/>
                <w:sz w:val="18"/>
              </w:rPr>
              <w:t>Converted to binary active status indicator.</w:t>
            </w:r>
          </w:p>
        </w:tc>
      </w:tr>
      <w:tr>
        <w:tc>
          <w:tcPr>
            <w:tcW w:type="dxa" w:w="1584"/>
            <w:shd w:fill="FAFAFA"/>
          </w:tcPr>
          <w:p>
            <w:pPr>
              <w:spacing w:before="40" w:after="40" w:line="252" w:lineRule="auto"/>
              <w:jc w:val="left"/>
            </w:pPr>
            <w:r>
              <w:rPr>
                <w:rFonts w:ascii="Times New Roman" w:hAnsi="Times New Roman"/>
                <w:sz w:val="18"/>
              </w:rPr>
              <w:t>SO2 / NOx / PM / Hg Controls</w:t>
            </w:r>
          </w:p>
        </w:tc>
        <w:tc>
          <w:tcPr>
            <w:tcW w:type="dxa" w:w="2016"/>
            <w:shd w:fill="FAFAFA"/>
          </w:tcPr>
          <w:p>
            <w:pPr>
              <w:spacing w:before="40" w:after="40" w:line="252" w:lineRule="auto"/>
              <w:jc w:val="left"/>
            </w:pPr>
            <w:r>
              <w:rPr>
                <w:rFonts w:ascii="Times New Roman" w:hAnsi="Times New Roman"/>
                <w:sz w:val="18"/>
              </w:rPr>
              <w:t>Installed post-combustion scrubbing equipment</w:t>
            </w:r>
          </w:p>
        </w:tc>
        <w:tc>
          <w:tcPr>
            <w:tcW w:type="dxa" w:w="1296"/>
            <w:shd w:fill="FAFAFA"/>
          </w:tcPr>
          <w:p>
            <w:pPr>
              <w:spacing w:before="40" w:after="40" w:line="252" w:lineRule="auto"/>
              <w:jc w:val="left"/>
            </w:pPr>
            <w:r>
              <w:rPr>
                <w:rFonts w:ascii="Times New Roman" w:hAnsi="Times New Roman"/>
                <w:sz w:val="18"/>
              </w:rPr>
              <w:t>Multi-Valued Text</w:t>
            </w:r>
          </w:p>
        </w:tc>
        <w:tc>
          <w:tcPr>
            <w:tcW w:type="dxa" w:w="1584"/>
            <w:shd w:fill="FAFAFA"/>
          </w:tcPr>
          <w:p>
            <w:pPr>
              <w:spacing w:before="40" w:after="40" w:line="252" w:lineRule="auto"/>
              <w:jc w:val="left"/>
            </w:pPr>
            <w:r>
              <w:rPr>
                <w:rFonts w:ascii="Times New Roman" w:hAnsi="Times New Roman"/>
                <w:sz w:val="18"/>
              </w:rPr>
              <w:t>Wet FGD, SCR, ESP, Baghouse, ACI</w:t>
            </w:r>
          </w:p>
        </w:tc>
        <w:tc>
          <w:tcPr>
            <w:tcW w:type="dxa" w:w="1728"/>
            <w:shd w:fill="FAFAFA"/>
          </w:tcPr>
          <w:p>
            <w:pPr>
              <w:spacing w:before="40" w:after="40" w:line="252" w:lineRule="auto"/>
              <w:jc w:val="left"/>
            </w:pPr>
            <w:r>
              <w:rPr>
                <w:rFonts w:ascii="Times New Roman" w:hAnsi="Times New Roman"/>
                <w:sz w:val="18"/>
              </w:rPr>
              <w:t>596–3,877 blanks (= Uncontrolled)</w:t>
            </w:r>
          </w:p>
        </w:tc>
        <w:tc>
          <w:tcPr>
            <w:tcW w:type="dxa" w:w="1872"/>
            <w:shd w:fill="FAFAFA"/>
          </w:tcPr>
          <w:p>
            <w:pPr>
              <w:spacing w:before="40" w:after="40" w:line="252" w:lineRule="auto"/>
              <w:jc w:val="left"/>
            </w:pPr>
            <w:r>
              <w:rPr>
                <w:rFonts w:ascii="Times New Roman" w:hAnsi="Times New Roman"/>
                <w:sz w:val="18"/>
              </w:rPr>
              <w:t>Mapped to 4 binary indicators and summed into Control_Count.</w:t>
            </w:r>
          </w:p>
        </w:tc>
      </w:tr>
      <w:tr>
        <w:tc>
          <w:tcPr>
            <w:tcW w:type="dxa" w:w="1584"/>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Derived total electrical nameplate capacity (MWe)</w:t>
            </w:r>
          </w:p>
        </w:tc>
        <w:tc>
          <w:tcPr>
            <w:tcW w:type="dxa" w:w="1296"/>
          </w:tcPr>
          <w:p>
            <w:pPr>
              <w:spacing w:before="40" w:after="40" w:line="252" w:lineRule="auto"/>
              <w:jc w:val="left"/>
            </w:pPr>
            <w:r>
              <w:rPr>
                <w:rFonts w:ascii="Times New Roman" w:hAnsi="Times New Roman"/>
                <w:sz w:val="18"/>
              </w:rPr>
              <w:t>Continuous Float</w:t>
            </w:r>
          </w:p>
        </w:tc>
        <w:tc>
          <w:tcPr>
            <w:tcW w:type="dxa" w:w="1584"/>
          </w:tcPr>
          <w:p>
            <w:pPr>
              <w:spacing w:before="40" w:after="40" w:line="252" w:lineRule="auto"/>
              <w:jc w:val="left"/>
            </w:pPr>
            <w:r>
              <w:rPr>
                <w:rFonts w:ascii="Times New Roman" w:hAnsi="Times New Roman"/>
                <w:sz w:val="18"/>
              </w:rPr>
              <w:t>1.0 to 1,300.0 MWe (Mean = 207.2)</w:t>
            </w:r>
          </w:p>
        </w:tc>
        <w:tc>
          <w:tcPr>
            <w:tcW w:type="dxa" w:w="1728"/>
          </w:tcPr>
          <w:p>
            <w:pPr>
              <w:spacing w:before="40" w:after="40" w:line="252" w:lineRule="auto"/>
              <w:jc w:val="left"/>
            </w:pPr>
            <w:r>
              <w:rPr>
                <w:rFonts w:ascii="Times New Roman" w:hAnsi="Times New Roman"/>
                <w:sz w:val="18"/>
              </w:rPr>
              <w:t>0 missing after imputation</w:t>
            </w:r>
          </w:p>
        </w:tc>
        <w:tc>
          <w:tcPr>
            <w:tcW w:type="dxa" w:w="1872"/>
          </w:tcPr>
          <w:p>
            <w:pPr>
              <w:spacing w:before="40" w:after="40" w:line="252" w:lineRule="auto"/>
              <w:jc w:val="left"/>
            </w:pPr>
            <w:r>
              <w:rPr>
                <w:rFonts w:ascii="Times New Roman" w:hAnsi="Times New Roman"/>
                <w:sz w:val="18"/>
              </w:rPr>
              <w:t>Core physical size explanatory variable (RQ2–RQ4).</w:t>
            </w:r>
          </w:p>
        </w:tc>
      </w:tr>
      <w:tr>
        <w:tc>
          <w:tcPr>
            <w:tcW w:type="dxa" w:w="1584"/>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Derived operational service age in years</w:t>
            </w:r>
          </w:p>
        </w:tc>
        <w:tc>
          <w:tcPr>
            <w:tcW w:type="dxa" w:w="1296"/>
            <w:shd w:fill="FAFAFA"/>
          </w:tcPr>
          <w:p>
            <w:pPr>
              <w:spacing w:before="40" w:after="40" w:line="252" w:lineRule="auto"/>
              <w:jc w:val="left"/>
            </w:pPr>
            <w:r>
              <w:rPr>
                <w:rFonts w:ascii="Times New Roman" w:hAnsi="Times New Roman"/>
                <w:sz w:val="18"/>
              </w:rPr>
              <w:t>Continuous Float</w:t>
            </w:r>
          </w:p>
        </w:tc>
        <w:tc>
          <w:tcPr>
            <w:tcW w:type="dxa" w:w="1584"/>
            <w:shd w:fill="FAFAFA"/>
          </w:tcPr>
          <w:p>
            <w:pPr>
              <w:spacing w:before="40" w:after="40" w:line="252" w:lineRule="auto"/>
              <w:jc w:val="left"/>
            </w:pPr>
            <w:r>
              <w:rPr>
                <w:rFonts w:ascii="Times New Roman" w:hAnsi="Times New Roman"/>
                <w:sz w:val="18"/>
              </w:rPr>
              <w:t>0.0 to 95.0 yrs (Mean = 30.7)</w:t>
            </w:r>
          </w:p>
        </w:tc>
        <w:tc>
          <w:tcPr>
            <w:tcW w:type="dxa" w:w="1728"/>
            <w:shd w:fill="FAFAFA"/>
          </w:tcPr>
          <w:p>
            <w:pPr>
              <w:spacing w:before="40" w:after="40" w:line="252" w:lineRule="auto"/>
              <w:jc w:val="left"/>
            </w:pPr>
            <w:r>
              <w:rPr>
                <w:rFonts w:ascii="Times New Roman" w:hAnsi="Times New Roman"/>
                <w:sz w:val="18"/>
              </w:rPr>
              <w:t>0 missing after imputation</w:t>
            </w:r>
          </w:p>
        </w:tc>
        <w:tc>
          <w:tcPr>
            <w:tcW w:type="dxa" w:w="1872"/>
            <w:shd w:fill="FAFAFA"/>
          </w:tcPr>
          <w:p>
            <w:pPr>
              <w:spacing w:before="40" w:after="40" w:line="252" w:lineRule="auto"/>
              <w:jc w:val="left"/>
            </w:pPr>
            <w:r>
              <w:rPr>
                <w:rFonts w:ascii="Times New Roman" w:hAnsi="Times New Roman"/>
                <w:sz w:val="18"/>
              </w:rPr>
              <w:t>Primary vintage explanatory variable (RQ2–RQ4).</w:t>
            </w:r>
          </w:p>
        </w:tc>
      </w:tr>
      <w:tr>
        <w:tc>
          <w:tcPr>
            <w:tcW w:type="dxa" w:w="1584"/>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Cumulative count of active pollution control types</w:t>
            </w:r>
          </w:p>
        </w:tc>
        <w:tc>
          <w:tcPr>
            <w:tcW w:type="dxa" w:w="1296"/>
          </w:tcPr>
          <w:p>
            <w:pPr>
              <w:spacing w:before="40" w:after="40" w:line="252" w:lineRule="auto"/>
              <w:jc w:val="left"/>
            </w:pPr>
            <w:r>
              <w:rPr>
                <w:rFonts w:ascii="Times New Roman" w:hAnsi="Times New Roman"/>
                <w:sz w:val="18"/>
              </w:rPr>
              <w:t>Discrete Integer</w:t>
            </w:r>
          </w:p>
        </w:tc>
        <w:tc>
          <w:tcPr>
            <w:tcW w:type="dxa" w:w="1584"/>
          </w:tcPr>
          <w:p>
            <w:pPr>
              <w:spacing w:before="40" w:after="40" w:line="252" w:lineRule="auto"/>
              <w:jc w:val="left"/>
            </w:pPr>
            <w:r>
              <w:rPr>
                <w:rFonts w:ascii="Times New Roman" w:hAnsi="Times New Roman"/>
                <w:sz w:val="18"/>
              </w:rPr>
              <w:t>0 to 4 systems (Mean = 1.11)</w:t>
            </w:r>
          </w:p>
        </w:tc>
        <w:tc>
          <w:tcPr>
            <w:tcW w:type="dxa" w:w="1728"/>
          </w:tcPr>
          <w:p>
            <w:pPr>
              <w:spacing w:before="40" w:after="40" w:line="252" w:lineRule="auto"/>
              <w:jc w:val="left"/>
            </w:pPr>
            <w:r>
              <w:rPr>
                <w:rFonts w:ascii="Times New Roman" w:hAnsi="Times New Roman"/>
                <w:sz w:val="18"/>
              </w:rPr>
              <w:t>0 missing after derivation</w:t>
            </w:r>
          </w:p>
        </w:tc>
        <w:tc>
          <w:tcPr>
            <w:tcW w:type="dxa" w:w="1872"/>
          </w:tcPr>
          <w:p>
            <w:pPr>
              <w:spacing w:before="40" w:after="40" w:line="252" w:lineRule="auto"/>
              <w:jc w:val="left"/>
            </w:pPr>
            <w:r>
              <w:rPr>
                <w:rFonts w:ascii="Times New Roman" w:hAnsi="Times New Roman"/>
                <w:sz w:val="18"/>
              </w:rPr>
              <w:t>Quantifies multi-pollutant abatement hardware density.</w:t>
            </w:r>
          </w:p>
        </w:tc>
      </w:tr>
      <w:tr>
        <w:tc>
          <w:tcPr>
            <w:tcW w:type="dxa" w:w="1584"/>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Binary upper-quartile thermal load indicator</w:t>
            </w:r>
          </w:p>
        </w:tc>
        <w:tc>
          <w:tcPr>
            <w:tcW w:type="dxa" w:w="1296"/>
            <w:shd w:fill="FAFAFA"/>
          </w:tcPr>
          <w:p>
            <w:pPr>
              <w:spacing w:before="40" w:after="40" w:line="252" w:lineRule="auto"/>
              <w:jc w:val="left"/>
            </w:pPr>
            <w:r>
              <w:rPr>
                <w:rFonts w:ascii="Times New Roman" w:hAnsi="Times New Roman"/>
                <w:sz w:val="18"/>
              </w:rPr>
              <w:t>Binary Integer (0, 1)</w:t>
            </w:r>
          </w:p>
        </w:tc>
        <w:tc>
          <w:tcPr>
            <w:tcW w:type="dxa" w:w="1584"/>
            <w:shd w:fill="FAFAFA"/>
          </w:tcPr>
          <w:p>
            <w:pPr>
              <w:spacing w:before="40" w:after="40" w:line="252" w:lineRule="auto"/>
              <w:jc w:val="left"/>
            </w:pPr>
            <w:r>
              <w:rPr>
                <w:rFonts w:ascii="Times New Roman" w:hAnsi="Times New Roman"/>
                <w:sz w:val="18"/>
              </w:rPr>
              <w:t>1 if HI &gt;= 2,350 mmBtu/hr (25.14%)</w:t>
            </w:r>
          </w:p>
        </w:tc>
        <w:tc>
          <w:tcPr>
            <w:tcW w:type="dxa" w:w="1728"/>
            <w:shd w:fill="FAFAFA"/>
          </w:tcPr>
          <w:p>
            <w:pPr>
              <w:spacing w:before="40" w:after="40" w:line="252" w:lineRule="auto"/>
              <w:jc w:val="left"/>
            </w:pPr>
            <w:r>
              <w:rPr>
                <w:rFonts w:ascii="Times New Roman" w:hAnsi="Times New Roman"/>
                <w:sz w:val="18"/>
              </w:rPr>
              <w:t>0 missing after derivation</w:t>
            </w:r>
          </w:p>
        </w:tc>
        <w:tc>
          <w:tcPr>
            <w:tcW w:type="dxa" w:w="1872"/>
            <w:shd w:fill="FAFAFA"/>
          </w:tcPr>
          <w:p>
            <w:pPr>
              <w:spacing w:before="40" w:after="40" w:line="252" w:lineRule="auto"/>
              <w:jc w:val="left"/>
            </w:pPr>
            <w:r>
              <w:rPr>
                <w:rFonts w:ascii="Times New Roman" w:hAnsi="Times New Roman"/>
                <w:sz w:val="18"/>
              </w:rPr>
              <w:t>Target classification label Y evaluated in RQ2.</w:t>
            </w:r>
          </w:p>
        </w:tc>
      </w:tr>
    </w:tbl>
    <w:p>
      <w:pPr>
        <w:spacing w:before="60" w:after="240"/>
      </w:pPr>
      <w:r>
        <w:rPr>
          <w:rFonts w:ascii="Times New Roman" w:hAnsi="Times New Roman"/>
          <w:i/>
          <w:sz w:val="18"/>
        </w:rPr>
        <w:t xml:space="preserve">Note. </w:t>
      </w:r>
      <w:r>
        <w:rPr>
          <w:rFonts w:ascii="Times New Roman" w:hAnsi="Times New Roman"/>
          <w:sz w:val="18"/>
        </w:rPr>
        <w:t>Schema specification covering source EPA CAMPD fields and derived analytical variables across all N = 4,050 generating units.</w:t>
      </w:r>
    </w:p>
    <w:p>
      <w:pPr>
        <w:keepNext/>
        <w:spacing w:before="240" w:after="120"/>
        <w:jc w:val="left"/>
      </w:pPr>
      <w:r>
        <w:rPr>
          <w:rFonts w:ascii="Times New Roman" w:hAnsi="Times New Roman"/>
          <w:b/>
          <w:color w:val="19375F"/>
          <w:sz w:val="24"/>
        </w:rPr>
        <w:t>Data Cleaning and Preprocessing Log</w:t>
      </w:r>
    </w:p>
    <w:p>
      <w:pPr>
        <w:spacing w:after="120" w:line="276" w:lineRule="auto"/>
        <w:jc w:val="left"/>
      </w:pPr>
      <w:r>
        <w:rPr>
          <w:rFonts w:ascii="Times New Roman" w:hAnsi="Times New Roman"/>
          <w:i w:val="0"/>
          <w:sz w:val="22"/>
        </w:rPr>
        <w:t>Converting raw regulatory filings into a clean numerical feature matrix required an automated eight-step Python preprocessing workflow (see Appendix A). Table 3 catalogs each structural anomaly encountered, the columns impacted, the diagnostic check performed, the mathematical remediation applied, and the engineering justification.</w:t>
      </w:r>
    </w:p>
    <w:p>
      <w:pPr>
        <w:keepNext/>
        <w:spacing w:before="240" w:after="40"/>
      </w:pPr>
      <w:r>
        <w:rPr>
          <w:rFonts w:ascii="Times New Roman" w:hAnsi="Times New Roman"/>
          <w:b/>
          <w:sz w:val="22"/>
        </w:rPr>
        <w:t>Table 3</w:t>
      </w:r>
    </w:p>
    <w:p>
      <w:pPr>
        <w:keepNext/>
        <w:spacing w:before="0" w:after="120"/>
      </w:pPr>
      <w:r>
        <w:rPr>
          <w:rFonts w:ascii="Times New Roman" w:hAnsi="Times New Roman"/>
          <w:i/>
          <w:sz w:val="22"/>
        </w:rPr>
        <w:t>Programmatic Data Hygiene and Preprocessing Audit Log</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Quality Issue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Impacted Fields</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Diagnostic Check</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Remediation Executed</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Engineering &amp; Statistical Justification</w:t>
            </w:r>
          </w:p>
        </w:tc>
      </w:tr>
      <w:tr>
        <w:tc>
          <w:tcPr>
            <w:tcW w:type="dxa" w:w="1872"/>
          </w:tcPr>
          <w:p>
            <w:pPr>
              <w:spacing w:before="40" w:after="40" w:line="252" w:lineRule="auto"/>
              <w:jc w:val="left"/>
            </w:pPr>
            <w:r>
              <w:rPr>
                <w:rFonts w:ascii="Times New Roman" w:hAnsi="Times New Roman"/>
                <w:sz w:val="18"/>
              </w:rPr>
              <w:t>Composite Key Verification</w:t>
            </w:r>
          </w:p>
        </w:tc>
        <w:tc>
          <w:tcPr>
            <w:tcW w:type="dxa" w:w="2016"/>
          </w:tcPr>
          <w:p>
            <w:pPr>
              <w:spacing w:before="40" w:after="40" w:line="252" w:lineRule="auto"/>
              <w:jc w:val="left"/>
            </w:pPr>
            <w:r>
              <w:rPr>
                <w:rFonts w:ascii="Times New Roman" w:hAnsi="Times New Roman"/>
                <w:sz w:val="18"/>
              </w:rPr>
              <w:t>Facility ID + Unit ID</w:t>
            </w:r>
          </w:p>
        </w:tc>
        <w:tc>
          <w:tcPr>
            <w:tcW w:type="dxa" w:w="1728"/>
          </w:tcPr>
          <w:p>
            <w:pPr>
              <w:spacing w:before="40" w:after="40" w:line="252" w:lineRule="auto"/>
              <w:jc w:val="left"/>
            </w:pPr>
            <w:r>
              <w:rPr>
                <w:rFonts w:ascii="Times New Roman" w:hAnsi="Times New Roman"/>
                <w:sz w:val="18"/>
              </w:rPr>
              <w:t>Boolean check via duplicated() on paired IDs</w:t>
            </w:r>
          </w:p>
        </w:tc>
        <w:tc>
          <w:tcPr>
            <w:tcW w:type="dxa" w:w="2016"/>
          </w:tcPr>
          <w:p>
            <w:pPr>
              <w:spacing w:before="40" w:after="40" w:line="252" w:lineRule="auto"/>
              <w:jc w:val="left"/>
            </w:pPr>
            <w:r>
              <w:rPr>
                <w:rFonts w:ascii="Times New Roman" w:hAnsi="Times New Roman"/>
                <w:sz w:val="18"/>
              </w:rPr>
              <w:t>Confirmed 0 duplicate unit records across all 4,050 rows</w:t>
            </w:r>
          </w:p>
        </w:tc>
        <w:tc>
          <w:tcPr>
            <w:tcW w:type="dxa" w:w="2448"/>
          </w:tcPr>
          <w:p>
            <w:pPr>
              <w:spacing w:before="40" w:after="40" w:line="252" w:lineRule="auto"/>
              <w:jc w:val="left"/>
            </w:pPr>
            <w:r>
              <w:rPr>
                <w:rFonts w:ascii="Times New Roman" w:hAnsi="Times New Roman"/>
                <w:sz w:val="18"/>
              </w:rPr>
              <w:t>Ensures statistical independence across unit observations.</w:t>
            </w:r>
          </w:p>
        </w:tc>
      </w:tr>
      <w:tr>
        <w:tc>
          <w:tcPr>
            <w:tcW w:type="dxa" w:w="1872"/>
            <w:shd w:fill="FAFAFA"/>
          </w:tcPr>
          <w:p>
            <w:pPr>
              <w:spacing w:before="40" w:after="40" w:line="252" w:lineRule="auto"/>
              <w:jc w:val="left"/>
            </w:pPr>
            <w:r>
              <w:rPr>
                <w:rFonts w:ascii="Times New Roman" w:hAnsi="Times New Roman"/>
                <w:sz w:val="18"/>
              </w:rPr>
              <w:t>Embedded Megawatt Strings</w:t>
            </w:r>
          </w:p>
        </w:tc>
        <w:tc>
          <w:tcPr>
            <w:tcW w:type="dxa" w:w="2016"/>
            <w:shd w:fill="FAFAFA"/>
          </w:tcPr>
          <w:p>
            <w:pPr>
              <w:spacing w:before="40" w:after="40" w:line="252" w:lineRule="auto"/>
              <w:jc w:val="left"/>
            </w:pPr>
            <w:r>
              <w:rPr>
                <w:rFonts w:ascii="Times New Roman" w:hAnsi="Times New Roman"/>
                <w:sz w:val="18"/>
              </w:rPr>
              <w:t>Associated Generators &amp; Nameplate Capacity (MWe)</w:t>
            </w:r>
          </w:p>
        </w:tc>
        <w:tc>
          <w:tcPr>
            <w:tcW w:type="dxa" w:w="1728"/>
            <w:shd w:fill="FAFAFA"/>
          </w:tcPr>
          <w:p>
            <w:pPr>
              <w:spacing w:before="40" w:after="40" w:line="252" w:lineRule="auto"/>
              <w:jc w:val="left"/>
            </w:pPr>
            <w:r>
              <w:rPr>
                <w:rFonts w:ascii="Times New Roman" w:hAnsi="Times New Roman"/>
                <w:sz w:val="18"/>
              </w:rPr>
              <w:t>Regular expression pattern r'\(([\d\.]+)\)'</w:t>
            </w:r>
          </w:p>
        </w:tc>
        <w:tc>
          <w:tcPr>
            <w:tcW w:type="dxa" w:w="2016"/>
            <w:shd w:fill="FAFAFA"/>
          </w:tcPr>
          <w:p>
            <w:pPr>
              <w:spacing w:before="40" w:after="40" w:line="252" w:lineRule="auto"/>
              <w:jc w:val="left"/>
            </w:pPr>
            <w:r>
              <w:rPr>
                <w:rFonts w:ascii="Times New Roman" w:hAnsi="Times New Roman"/>
                <w:sz w:val="18"/>
              </w:rPr>
              <w:t>Parsed parenthetical MWe values and summed multi-generator ratings</w:t>
            </w:r>
          </w:p>
        </w:tc>
        <w:tc>
          <w:tcPr>
            <w:tcW w:type="dxa" w:w="2448"/>
            <w:shd w:fill="FAFAFA"/>
          </w:tcPr>
          <w:p>
            <w:pPr>
              <w:spacing w:before="40" w:after="40" w:line="252" w:lineRule="auto"/>
              <w:jc w:val="left"/>
            </w:pPr>
            <w:r>
              <w:rPr>
                <w:rFonts w:ascii="Times New Roman" w:hAnsi="Times New Roman"/>
                <w:sz w:val="18"/>
              </w:rPr>
              <w:t>Extracts continuous Capacity_MW from semi-structured text.</w:t>
            </w:r>
          </w:p>
        </w:tc>
      </w:tr>
      <w:tr>
        <w:tc>
          <w:tcPr>
            <w:tcW w:type="dxa" w:w="1872"/>
          </w:tcPr>
          <w:p>
            <w:pPr>
              <w:spacing w:before="40" w:after="40" w:line="252" w:lineRule="auto"/>
              <w:jc w:val="left"/>
            </w:pPr>
            <w:r>
              <w:rPr>
                <w:rFonts w:ascii="Times New Roman" w:hAnsi="Times New Roman"/>
                <w:sz w:val="18"/>
              </w:rPr>
              <w:t>Unreported Nameplate Ratings</w:t>
            </w:r>
          </w:p>
        </w:tc>
        <w:tc>
          <w:tcPr>
            <w:tcW w:type="dxa" w:w="2016"/>
          </w:tcPr>
          <w:p>
            <w:pPr>
              <w:spacing w:before="40" w:after="40" w:line="252" w:lineRule="auto"/>
              <w:jc w:val="left"/>
            </w:pPr>
            <w:r>
              <w:rPr>
                <w:rFonts w:ascii="Times New Roman" w:hAnsi="Times New Roman"/>
                <w:sz w:val="18"/>
              </w:rPr>
              <w:t>Capacity_MW</w:t>
            </w:r>
          </w:p>
        </w:tc>
        <w:tc>
          <w:tcPr>
            <w:tcW w:type="dxa" w:w="1728"/>
          </w:tcPr>
          <w:p>
            <w:pPr>
              <w:spacing w:before="40" w:after="40" w:line="252" w:lineRule="auto"/>
              <w:jc w:val="left"/>
            </w:pPr>
            <w:r>
              <w:rPr>
                <w:rFonts w:ascii="Times New Roman" w:hAnsi="Times New Roman"/>
                <w:sz w:val="18"/>
              </w:rPr>
              <w:t>Null audit flagged 150 missing units (3.70%)</w:t>
            </w:r>
          </w:p>
        </w:tc>
        <w:tc>
          <w:tcPr>
            <w:tcW w:type="dxa" w:w="2016"/>
          </w:tcPr>
          <w:p>
            <w:pPr>
              <w:spacing w:before="40" w:after="40" w:line="252" w:lineRule="auto"/>
              <w:jc w:val="left"/>
            </w:pPr>
            <w:r>
              <w:rPr>
                <w:rFonts w:ascii="Times New Roman" w:hAnsi="Times New Roman"/>
                <w:sz w:val="18"/>
              </w:rPr>
              <w:t>Substituted group median Capacity_MW stratified by Unit_Type_Category</w:t>
            </w:r>
          </w:p>
        </w:tc>
        <w:tc>
          <w:tcPr>
            <w:tcW w:type="dxa" w:w="2448"/>
          </w:tcPr>
          <w:p>
            <w:pPr>
              <w:spacing w:before="40" w:after="40" w:line="252" w:lineRule="auto"/>
              <w:jc w:val="left"/>
            </w:pPr>
            <w:r>
              <w:rPr>
                <w:rFonts w:ascii="Times New Roman" w:hAnsi="Times New Roman"/>
                <w:sz w:val="18"/>
              </w:rPr>
              <w:t>Retains full 4,050-unit sample while preserving technology scale.</w:t>
            </w:r>
          </w:p>
        </w:tc>
      </w:tr>
      <w:tr>
        <w:tc>
          <w:tcPr>
            <w:tcW w:type="dxa" w:w="1872"/>
            <w:shd w:fill="FAFAFA"/>
          </w:tcPr>
          <w:p>
            <w:pPr>
              <w:spacing w:before="40" w:after="40" w:line="252" w:lineRule="auto"/>
              <w:jc w:val="left"/>
            </w:pPr>
            <w:r>
              <w:rPr>
                <w:rFonts w:ascii="Times New Roman" w:hAnsi="Times New Roman"/>
                <w:sz w:val="18"/>
              </w:rPr>
              <w:t>Date Format Standardization</w:t>
            </w:r>
          </w:p>
        </w:tc>
        <w:tc>
          <w:tcPr>
            <w:tcW w:type="dxa" w:w="2016"/>
            <w:shd w:fill="FAFAFA"/>
          </w:tcPr>
          <w:p>
            <w:pPr>
              <w:spacing w:before="40" w:after="40" w:line="252" w:lineRule="auto"/>
              <w:jc w:val="left"/>
            </w:pPr>
            <w:r>
              <w:rPr>
                <w:rFonts w:ascii="Times New Roman" w:hAnsi="Times New Roman"/>
                <w:sz w:val="18"/>
              </w:rPr>
              <w:t>Commercial Operation Date</w:t>
            </w:r>
          </w:p>
        </w:tc>
        <w:tc>
          <w:tcPr>
            <w:tcW w:type="dxa" w:w="1728"/>
            <w:shd w:fill="FAFAFA"/>
          </w:tcPr>
          <w:p>
            <w:pPr>
              <w:spacing w:before="40" w:after="40" w:line="252" w:lineRule="auto"/>
              <w:jc w:val="left"/>
            </w:pPr>
            <w:r>
              <w:rPr>
                <w:rFonts w:ascii="Times New Roman" w:hAnsi="Times New Roman"/>
                <w:sz w:val="18"/>
              </w:rPr>
              <w:t>Datetime coercion via pd.to_datetime()</w:t>
            </w:r>
          </w:p>
        </w:tc>
        <w:tc>
          <w:tcPr>
            <w:tcW w:type="dxa" w:w="2016"/>
            <w:shd w:fill="FAFAFA"/>
          </w:tcPr>
          <w:p>
            <w:pPr>
              <w:spacing w:before="40" w:after="40" w:line="252" w:lineRule="auto"/>
              <w:jc w:val="left"/>
            </w:pPr>
            <w:r>
              <w:rPr>
                <w:rFonts w:ascii="Times New Roman" w:hAnsi="Times New Roman"/>
                <w:sz w:val="18"/>
              </w:rPr>
              <w:t>Extracted startup year; filled 36 nulls (0.89%) with technology median year</w:t>
            </w:r>
          </w:p>
        </w:tc>
        <w:tc>
          <w:tcPr>
            <w:tcW w:type="dxa" w:w="2448"/>
            <w:shd w:fill="FAFAFA"/>
          </w:tcPr>
          <w:p>
            <w:pPr>
              <w:spacing w:before="40" w:after="40" w:line="252" w:lineRule="auto"/>
              <w:jc w:val="left"/>
            </w:pPr>
            <w:r>
              <w:rPr>
                <w:rFonts w:ascii="Times New Roman" w:hAnsi="Times New Roman"/>
                <w:sz w:val="18"/>
              </w:rPr>
              <w:t>Permits exact calculation of continuous Unit_Age (2025 - Year).</w:t>
            </w:r>
          </w:p>
        </w:tc>
      </w:tr>
      <w:tr>
        <w:tc>
          <w:tcPr>
            <w:tcW w:type="dxa" w:w="1872"/>
          </w:tcPr>
          <w:p>
            <w:pPr>
              <w:spacing w:before="40" w:after="40" w:line="252" w:lineRule="auto"/>
              <w:jc w:val="left"/>
            </w:pPr>
            <w:r>
              <w:rPr>
                <w:rFonts w:ascii="Times New Roman" w:hAnsi="Times New Roman"/>
                <w:sz w:val="18"/>
              </w:rPr>
              <w:t>Unreported Thermal Input</w:t>
            </w:r>
          </w:p>
        </w:tc>
        <w:tc>
          <w:tcPr>
            <w:tcW w:type="dxa" w:w="2016"/>
          </w:tcPr>
          <w:p>
            <w:pPr>
              <w:spacing w:before="40" w:after="40" w:line="252" w:lineRule="auto"/>
              <w:jc w:val="left"/>
            </w:pPr>
            <w:r>
              <w:rPr>
                <w:rFonts w:ascii="Times New Roman" w:hAnsi="Times New Roman"/>
                <w:sz w:val="18"/>
              </w:rPr>
              <w:t>Max Hourly HI Rate (mmBtu/hr)</w:t>
            </w:r>
          </w:p>
        </w:tc>
        <w:tc>
          <w:tcPr>
            <w:tcW w:type="dxa" w:w="1728"/>
          </w:tcPr>
          <w:p>
            <w:pPr>
              <w:spacing w:before="40" w:after="40" w:line="252" w:lineRule="auto"/>
              <w:jc w:val="left"/>
            </w:pPr>
            <w:r>
              <w:rPr>
                <w:rFonts w:ascii="Times New Roman" w:hAnsi="Times New Roman"/>
                <w:sz w:val="18"/>
              </w:rPr>
              <w:t>Null audit flagged 44 missing units (1.09%)</w:t>
            </w:r>
          </w:p>
        </w:tc>
        <w:tc>
          <w:tcPr>
            <w:tcW w:type="dxa" w:w="2016"/>
          </w:tcPr>
          <w:p>
            <w:pPr>
              <w:spacing w:before="40" w:after="40" w:line="252" w:lineRule="auto"/>
              <w:jc w:val="left"/>
            </w:pPr>
            <w:r>
              <w:rPr>
                <w:rFonts w:ascii="Times New Roman" w:hAnsi="Times New Roman"/>
                <w:sz w:val="18"/>
              </w:rPr>
              <w:t>Estimated via Capacity_MW multiplied by median heat rate (9.5 mmBtu/MWe)</w:t>
            </w:r>
          </w:p>
        </w:tc>
        <w:tc>
          <w:tcPr>
            <w:tcW w:type="dxa" w:w="2448"/>
          </w:tcPr>
          <w:p>
            <w:pPr>
              <w:spacing w:before="40" w:after="40" w:line="252" w:lineRule="auto"/>
              <w:jc w:val="left"/>
            </w:pPr>
            <w:r>
              <w:rPr>
                <w:rFonts w:ascii="Times New Roman" w:hAnsi="Times New Roman"/>
                <w:sz w:val="18"/>
              </w:rPr>
              <w:t>Enforces thermodynamic coupling between electrical MWe and heat input.</w:t>
            </w:r>
          </w:p>
        </w:tc>
      </w:tr>
      <w:tr>
        <w:tc>
          <w:tcPr>
            <w:tcW w:type="dxa" w:w="1872"/>
            <w:shd w:fill="FAFAFA"/>
          </w:tcPr>
          <w:p>
            <w:pPr>
              <w:spacing w:before="40" w:after="40" w:line="252" w:lineRule="auto"/>
              <w:jc w:val="left"/>
            </w:pPr>
            <w:r>
              <w:rPr>
                <w:rFonts w:ascii="Times New Roman" w:hAnsi="Times New Roman"/>
                <w:sz w:val="18"/>
              </w:rPr>
              <w:t>Blank Control Equipment Fields</w:t>
            </w:r>
          </w:p>
        </w:tc>
        <w:tc>
          <w:tcPr>
            <w:tcW w:type="dxa" w:w="2016"/>
            <w:shd w:fill="FAFAFA"/>
          </w:tcPr>
          <w:p>
            <w:pPr>
              <w:spacing w:before="40" w:after="40" w:line="252" w:lineRule="auto"/>
              <w:jc w:val="left"/>
            </w:pPr>
            <w:r>
              <w:rPr>
                <w:rFonts w:ascii="Times New Roman" w:hAnsi="Times New Roman"/>
                <w:sz w:val="18"/>
              </w:rPr>
              <w:t>SO2, NOx, PM, Hg Controls</w:t>
            </w:r>
          </w:p>
        </w:tc>
        <w:tc>
          <w:tcPr>
            <w:tcW w:type="dxa" w:w="1728"/>
            <w:shd w:fill="FAFAFA"/>
          </w:tcPr>
          <w:p>
            <w:pPr>
              <w:spacing w:before="40" w:after="40" w:line="252" w:lineRule="auto"/>
              <w:jc w:val="left"/>
            </w:pPr>
            <w:r>
              <w:rPr>
                <w:rFonts w:ascii="Times New Roman" w:hAnsi="Times New Roman"/>
                <w:sz w:val="18"/>
              </w:rPr>
              <w:t>String presence check (596 to 3,877 empty cells)</w:t>
            </w:r>
          </w:p>
        </w:tc>
        <w:tc>
          <w:tcPr>
            <w:tcW w:type="dxa" w:w="2016"/>
            <w:shd w:fill="FAFAFA"/>
          </w:tcPr>
          <w:p>
            <w:pPr>
              <w:spacing w:before="40" w:after="40" w:line="252" w:lineRule="auto"/>
              <w:jc w:val="left"/>
            </w:pPr>
            <w:r>
              <w:rPr>
                <w:rFonts w:ascii="Times New Roman" w:hAnsi="Times New Roman"/>
                <w:sz w:val="18"/>
              </w:rPr>
              <w:t>Mapped populated strings to 1 (Equipped) and blanks to 0 (Uncontrolled)</w:t>
            </w:r>
          </w:p>
        </w:tc>
        <w:tc>
          <w:tcPr>
            <w:tcW w:type="dxa" w:w="2448"/>
            <w:shd w:fill="FAFAFA"/>
          </w:tcPr>
          <w:p>
            <w:pPr>
              <w:spacing w:before="40" w:after="40" w:line="252" w:lineRule="auto"/>
              <w:jc w:val="left"/>
            </w:pPr>
            <w:r>
              <w:rPr>
                <w:rFonts w:ascii="Times New Roman" w:hAnsi="Times New Roman"/>
                <w:sz w:val="18"/>
              </w:rPr>
              <w:t>Empty cells in EPA CAMPD filings denote absence of scrubber hardware.</w:t>
            </w:r>
          </w:p>
        </w:tc>
      </w:tr>
      <w:tr>
        <w:tc>
          <w:tcPr>
            <w:tcW w:type="dxa" w:w="1872"/>
          </w:tcPr>
          <w:p>
            <w:pPr>
              <w:spacing w:before="40" w:after="40" w:line="252" w:lineRule="auto"/>
              <w:jc w:val="left"/>
            </w:pPr>
            <w:r>
              <w:rPr>
                <w:rFonts w:ascii="Times New Roman" w:hAnsi="Times New Roman"/>
                <w:sz w:val="18"/>
              </w:rPr>
              <w:t>High-Cardinality Fuel Codes</w:t>
            </w:r>
          </w:p>
        </w:tc>
        <w:tc>
          <w:tcPr>
            <w:tcW w:type="dxa" w:w="2016"/>
          </w:tcPr>
          <w:p>
            <w:pPr>
              <w:spacing w:before="40" w:after="40" w:line="252" w:lineRule="auto"/>
              <w:jc w:val="left"/>
            </w:pPr>
            <w:r>
              <w:rPr>
                <w:rFonts w:ascii="Times New Roman" w:hAnsi="Times New Roman"/>
                <w:sz w:val="18"/>
              </w:rPr>
              <w:t>Primary Fuel Type (12 EPA codes)</w:t>
            </w:r>
          </w:p>
        </w:tc>
        <w:tc>
          <w:tcPr>
            <w:tcW w:type="dxa" w:w="1728"/>
          </w:tcPr>
          <w:p>
            <w:pPr>
              <w:spacing w:before="40" w:after="40" w:line="252" w:lineRule="auto"/>
              <w:jc w:val="left"/>
            </w:pPr>
            <w:r>
              <w:rPr>
                <w:rFonts w:ascii="Times New Roman" w:hAnsi="Times New Roman"/>
                <w:sz w:val="18"/>
              </w:rPr>
              <w:t>Category count tabulation via value_counts()</w:t>
            </w:r>
          </w:p>
        </w:tc>
        <w:tc>
          <w:tcPr>
            <w:tcW w:type="dxa" w:w="2016"/>
          </w:tcPr>
          <w:p>
            <w:pPr>
              <w:spacing w:before="40" w:after="40" w:line="252" w:lineRule="auto"/>
              <w:jc w:val="left"/>
            </w:pPr>
            <w:r>
              <w:rPr>
                <w:rFonts w:ascii="Times New Roman" w:hAnsi="Times New Roman"/>
                <w:sz w:val="18"/>
              </w:rPr>
              <w:t>Collapsed into 5 classes: Natural Gas, Coal, Oil/Diesel, Biomass, Other</w:t>
            </w:r>
          </w:p>
        </w:tc>
        <w:tc>
          <w:tcPr>
            <w:tcW w:type="dxa" w:w="2448"/>
          </w:tcPr>
          <w:p>
            <w:pPr>
              <w:spacing w:before="40" w:after="40" w:line="252" w:lineRule="auto"/>
              <w:jc w:val="left"/>
            </w:pPr>
            <w:r>
              <w:rPr>
                <w:rFonts w:ascii="Times New Roman" w:hAnsi="Times New Roman"/>
                <w:sz w:val="18"/>
              </w:rPr>
              <w:t>Prevents sparse cells in ANOVA and stabilizes dummy encodings.</w:t>
            </w:r>
          </w:p>
        </w:tc>
      </w:tr>
      <w:tr>
        <w:tc>
          <w:tcPr>
            <w:tcW w:type="dxa" w:w="1872"/>
            <w:shd w:fill="FAFAFA"/>
          </w:tcPr>
          <w:p>
            <w:pPr>
              <w:spacing w:before="40" w:after="40" w:line="252" w:lineRule="auto"/>
              <w:jc w:val="left"/>
            </w:pPr>
            <w:r>
              <w:rPr>
                <w:rFonts w:ascii="Times New Roman" w:hAnsi="Times New Roman"/>
                <w:sz w:val="18"/>
              </w:rPr>
              <w:t>Fragmented Boiler Taxonomy</w:t>
            </w:r>
          </w:p>
        </w:tc>
        <w:tc>
          <w:tcPr>
            <w:tcW w:type="dxa" w:w="2016"/>
            <w:shd w:fill="FAFAFA"/>
          </w:tcPr>
          <w:p>
            <w:pPr>
              <w:spacing w:before="40" w:after="40" w:line="252" w:lineRule="auto"/>
              <w:jc w:val="left"/>
            </w:pPr>
            <w:r>
              <w:rPr>
                <w:rFonts w:ascii="Times New Roman" w:hAnsi="Times New Roman"/>
                <w:sz w:val="18"/>
              </w:rPr>
              <w:t>Unit Type (33 EPA codes)</w:t>
            </w:r>
          </w:p>
        </w:tc>
        <w:tc>
          <w:tcPr>
            <w:tcW w:type="dxa" w:w="1728"/>
            <w:shd w:fill="FAFAFA"/>
          </w:tcPr>
          <w:p>
            <w:pPr>
              <w:spacing w:before="40" w:after="40" w:line="252" w:lineRule="auto"/>
              <w:jc w:val="left"/>
            </w:pPr>
            <w:r>
              <w:rPr>
                <w:rFonts w:ascii="Times New Roman" w:hAnsi="Times New Roman"/>
                <w:sz w:val="18"/>
              </w:rPr>
              <w:t>Category count tabulation via value_counts()</w:t>
            </w:r>
          </w:p>
        </w:tc>
        <w:tc>
          <w:tcPr>
            <w:tcW w:type="dxa" w:w="2016"/>
            <w:shd w:fill="FAFAFA"/>
          </w:tcPr>
          <w:p>
            <w:pPr>
              <w:spacing w:before="40" w:after="40" w:line="252" w:lineRule="auto"/>
              <w:jc w:val="left"/>
            </w:pPr>
            <w:r>
              <w:rPr>
                <w:rFonts w:ascii="Times New Roman" w:hAnsi="Times New Roman"/>
                <w:sz w:val="18"/>
              </w:rPr>
              <w:t>Grouped into 5 classes: Combustion Turbine, Combined Cycle, Wall-Fired, Tangential, Other</w:t>
            </w:r>
          </w:p>
        </w:tc>
        <w:tc>
          <w:tcPr>
            <w:tcW w:type="dxa" w:w="2448"/>
            <w:shd w:fill="FAFAFA"/>
          </w:tcPr>
          <w:p>
            <w:pPr>
              <w:spacing w:before="40" w:after="40" w:line="252" w:lineRule="auto"/>
              <w:jc w:val="left"/>
            </w:pPr>
            <w:r>
              <w:rPr>
                <w:rFonts w:ascii="Times New Roman" w:hAnsi="Times New Roman"/>
                <w:sz w:val="18"/>
              </w:rPr>
              <w:t>Eliminates sparse categorical dimensions in supervised classifiers.</w:t>
            </w:r>
          </w:p>
        </w:tc>
      </w:tr>
    </w:tbl>
    <w:p>
      <w:pPr>
        <w:spacing w:before="60" w:after="240"/>
      </w:pPr>
      <w:r>
        <w:rPr>
          <w:rFonts w:ascii="Times New Roman" w:hAnsi="Times New Roman"/>
          <w:i/>
          <w:sz w:val="18"/>
        </w:rPr>
        <w:t xml:space="preserve">Note. </w:t>
      </w:r>
      <w:r>
        <w:rPr>
          <w:rFonts w:ascii="Times New Roman" w:hAnsi="Times New Roman"/>
          <w:sz w:val="18"/>
        </w:rPr>
        <w:t>Summary of programmatic data hygiene, regex extraction, and technology-stratified median imputation applied to facility-2025.csv.</w:t>
      </w:r>
    </w:p>
    <w:p>
      <w:pPr>
        <w:keepNext/>
        <w:spacing w:before="240" w:after="120"/>
        <w:jc w:val="left"/>
      </w:pPr>
      <w:r>
        <w:rPr>
          <w:rFonts w:ascii="Times New Roman" w:hAnsi="Times New Roman"/>
          <w:b/>
          <w:color w:val="19375F"/>
          <w:sz w:val="24"/>
        </w:rPr>
        <w:t>Exploratory Data Analysis (EDA)</w:t>
      </w:r>
    </w:p>
    <w:p>
      <w:pPr>
        <w:spacing w:after="120" w:line="276" w:lineRule="auto"/>
        <w:jc w:val="left"/>
      </w:pPr>
      <w:r>
        <w:rPr>
          <w:rFonts w:ascii="Times New Roman" w:hAnsi="Times New Roman"/>
          <w:i w:val="0"/>
          <w:sz w:val="22"/>
        </w:rPr>
        <w:t>Prior to hypothesis testing and machine learning estimation, Exploratory Data Analysis (EDA) was performed to inspect distributional shape, dispersion, and bivariate associations across all 4,050 generating units. Fleet-wide maximum hourly heat input averages 1,869.6 mmBtu/hr (SD = 1,973.6 mmBtu/hr) against a median of 1,200.0 mmBtu/hr, reflecting heavy right-skewness induced by utility-scale coal steam boilers. Nameplate electrical capacity averages 230.6 MWe (Median = 130.0 MWe; SD = 221.1 MWe), while service vintage (Unit_Age) ranges from 0 to 95 years with a mean of 30.6 years (Median = 24.0 years). Figures 1 through 4 present the core exploratory diagnostic plots, and Table 4 links each visual pattern to downstream modeling choices.</w:t>
      </w:r>
    </w:p>
    <w:p>
      <w:pPr>
        <w:keepNext/>
        <w:spacing w:before="240" w:after="40"/>
      </w:pPr>
      <w:r>
        <w:rPr>
          <w:rFonts w:ascii="Times New Roman" w:hAnsi="Times New Roman"/>
          <w:b/>
          <w:sz w:val="22"/>
        </w:rPr>
        <w:t>Figure 1</w:t>
      </w:r>
    </w:p>
    <w:p>
      <w:pPr>
        <w:keepNext/>
        <w:spacing w:before="0" w:after="120"/>
      </w:pPr>
      <w:r>
        <w:rPr>
          <w:rFonts w:ascii="Times New Roman" w:hAnsi="Times New Roman"/>
          <w:i/>
          <w:sz w:val="22"/>
        </w:rPr>
        <w:t>Distribution of Maximum Hourly Thermal Input Across Primary Fuel Categories</w:t>
      </w:r>
    </w:p>
    <w:p>
      <w:pPr>
        <w:keepNext/>
        <w:spacing w:after="80"/>
        <w:jc w:val="center"/>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figure1_fuel_emission_boxplot.png"/>
                    <pic:cNvPicPr/>
                  </pic:nvPicPr>
                  <pic:blipFill>
                    <a:blip r:embed="rId11"/>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Box-and-whisker plots illustrate group medians, interquartile ranges (IQR), 1.5×IQR whiskers, and extreme values; circular markers indicate group means. Omnibus tests: ANOVA F = 542.36 (p &lt; 0.001, η² = 0.349); Kruskal-Wallis H = 783.02 (p &lt; 0.001).</w:t>
      </w:r>
    </w:p>
    <w:p>
      <w:pPr>
        <w:spacing w:after="120" w:line="276" w:lineRule="auto"/>
        <w:jc w:val="left"/>
      </w:pPr>
      <w:r>
        <w:rPr>
          <w:rFonts w:ascii="Times New Roman" w:hAnsi="Times New Roman"/>
          <w:i w:val="0"/>
          <w:sz w:val="22"/>
        </w:rPr>
        <w:t>Figure 1 demonstrates pronounced thermal stratification across fuel classes. Coal-fired boilers (N = 424) exhibit a mean heat input of 5,221.2 mmBtu/hr (Median = 5,240.0 mmBtu/hr; IQR = 4,736.8 mmBtu/hr), surpassing natural gas units (N = 3,247; Mean = 1,553.0 mmBtu/hr; Median = 1,200.0 mmBtu/hr) by more than threefold and exceeding oil/diesel units (N = 312; Mean = 776.6 mmBtu/hr; Median = 482.0 mmBtu/hr) by nearly sevenfold.</w:t>
      </w:r>
    </w:p>
    <w:p>
      <w:pPr>
        <w:keepNext/>
        <w:spacing w:before="240" w:after="40"/>
      </w:pPr>
      <w:r>
        <w:rPr>
          <w:rFonts w:ascii="Times New Roman" w:hAnsi="Times New Roman"/>
          <w:b/>
          <w:sz w:val="22"/>
        </w:rPr>
        <w:t>Figure 2</w:t>
      </w:r>
    </w:p>
    <w:p>
      <w:pPr>
        <w:keepNext/>
        <w:spacing w:before="0" w:after="120"/>
      </w:pPr>
      <w:r>
        <w:rPr>
          <w:rFonts w:ascii="Times New Roman" w:hAnsi="Times New Roman"/>
          <w:i/>
          <w:sz w:val="22"/>
        </w:rPr>
        <w:t>Unit Count Frequency Versus Mean Thermal Scale by Boiler and Turbine Technology</w:t>
      </w:r>
    </w:p>
    <w:p>
      <w:pPr>
        <w:keepNext/>
        <w:spacing w:after="80"/>
        <w:jc w:val="center"/>
      </w:pPr>
      <w:r>
        <w:drawing>
          <wp:inline xmlns:a="http://schemas.openxmlformats.org/drawingml/2006/main" xmlns:pic="http://schemas.openxmlformats.org/drawingml/2006/picture">
            <wp:extent cx="5486400" cy="2391744"/>
            <wp:docPr id="2" name="Picture 2"/>
            <wp:cNvGraphicFramePr>
              <a:graphicFrameLocks noChangeAspect="1"/>
            </wp:cNvGraphicFramePr>
            <a:graphic>
              <a:graphicData uri="http://schemas.openxmlformats.org/drawingml/2006/picture">
                <pic:pic>
                  <pic:nvPicPr>
                    <pic:cNvPr id="0" name="figure2_unit_type_distribution.png"/>
                    <pic:cNvPicPr/>
                  </pic:nvPicPr>
                  <pic:blipFill>
                    <a:blip r:embed="rId12"/>
                    <a:stretch>
                      <a:fillRect/>
                    </a:stretch>
                  </pic:blipFill>
                  <pic:spPr>
                    <a:xfrm>
                      <a:off x="0" y="0"/>
                      <a:ext cx="5486400" cy="239174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Left panel depicts total generating units per technology class (N = 4,050). Right panel depicts group mean maximum hourly heat input rates (mmBtu/hr).</w:t>
      </w:r>
    </w:p>
    <w:p>
      <w:pPr>
        <w:spacing w:after="120" w:line="276" w:lineRule="auto"/>
        <w:jc w:val="left"/>
      </w:pPr>
      <w:r>
        <w:rPr>
          <w:rFonts w:ascii="Times New Roman" w:hAnsi="Times New Roman"/>
          <w:i w:val="0"/>
          <w:sz w:val="22"/>
        </w:rPr>
        <w:t>Figure 2 highlights a striking divergence between numerical unit prevalence and unit-level thermal load. Simple-cycle Combustion Turbines (1,781 units, 44.0%) and Combined Cycle blocks (1,341 units, 33.1%) together account for 77.1% of all active installations, yet Rankine-cycle steam units—specifically Tangentially-Fired Boilers (238 units, Mean HI = 5,526 mmBtu/hr) and Dry-Bottom Wall-Fired Boilers (360 units, Mean HI = 3,991 mmBtu/hr)—operate at three to five times the thermal capacity of Brayton-cycle gas turbines.</w:t>
      </w:r>
    </w:p>
    <w:p>
      <w:pPr>
        <w:keepNext/>
        <w:spacing w:before="240" w:after="40"/>
      </w:pPr>
      <w:r>
        <w:rPr>
          <w:rFonts w:ascii="Times New Roman" w:hAnsi="Times New Roman"/>
          <w:b/>
          <w:sz w:val="22"/>
        </w:rPr>
        <w:t>Figure 3</w:t>
      </w:r>
    </w:p>
    <w:p>
      <w:pPr>
        <w:keepNext/>
        <w:spacing w:before="0" w:after="120"/>
      </w:pPr>
      <w:r>
        <w:rPr>
          <w:rFonts w:ascii="Times New Roman" w:hAnsi="Times New Roman"/>
          <w:i/>
          <w:sz w:val="22"/>
        </w:rPr>
        <w:t>Post-Combustion Pollution Abatement Adoption Rates (%) Across Fuel Categories</w:t>
      </w:r>
    </w:p>
    <w:p>
      <w:pPr>
        <w:keepNext/>
        <w:spacing w:after="8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3_controls_by_fuel.png"/>
                    <pic:cNvPicPr/>
                  </pic:nvPicPr>
                  <pic:blipFill>
                    <a:blip r:embed="rId13"/>
                    <a:stretch>
                      <a:fillRect/>
                    </a:stretch>
                  </pic:blipFill>
                  <pic:spPr>
                    <a:xfrm>
                      <a:off x="0" y="0"/>
                      <a:ext cx="5486400" cy="30480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Proportion of generating units within each primary fuel group equipped with active SO2, NOx, PM, and Hg control systems.</w:t>
      </w:r>
    </w:p>
    <w:p>
      <w:pPr>
        <w:spacing w:after="120" w:line="276" w:lineRule="auto"/>
        <w:jc w:val="left"/>
      </w:pPr>
      <w:r>
        <w:rPr>
          <w:rFonts w:ascii="Times New Roman" w:hAnsi="Times New Roman"/>
          <w:i w:val="0"/>
          <w:sz w:val="22"/>
        </w:rPr>
        <w:t>Figure 3 illustrates how Clean Air Act compliance rules govern scrubber deployment across fuels. Nitrogen oxide (NOₓ) controls (SCR, SNCR, and low-NOₓ combustion hardware) exceed 85% adoption across both coal and natural gas cohorts. In contrast, flue gas desulfurization (SO₂ scrubbers), particulate precipitators/baghouses (PM), and mercury sorbents (Hg) are heavily concentrated in coal units (&gt;80% adoption) and biomass boilers, whereas pipeline natural gas units rarely require sulfur or particulate scrubbing.</w:t>
      </w:r>
    </w:p>
    <w:p>
      <w:pPr>
        <w:keepNext/>
        <w:spacing w:before="240" w:after="40"/>
      </w:pPr>
      <w:r>
        <w:rPr>
          <w:rFonts w:ascii="Times New Roman" w:hAnsi="Times New Roman"/>
          <w:b/>
          <w:sz w:val="22"/>
        </w:rPr>
        <w:t>Figure 4</w:t>
      </w:r>
    </w:p>
    <w:p>
      <w:pPr>
        <w:keepNext/>
        <w:spacing w:before="0" w:after="120"/>
      </w:pPr>
      <w:r>
        <w:rPr>
          <w:rFonts w:ascii="Times New Roman" w:hAnsi="Times New Roman"/>
          <w:i/>
          <w:sz w:val="22"/>
        </w:rPr>
        <w:t>Pairwise Pearson Linear Correlation Heatmap of Continuous and Binary Unit Attributes</w:t>
      </w:r>
    </w:p>
    <w:p>
      <w:pPr>
        <w:keepNext/>
        <w:spacing w:after="80"/>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ure4_correlation_heatmap.png"/>
                    <pic:cNvPicPr/>
                  </pic:nvPicPr>
                  <pic:blipFill>
                    <a:blip r:embed="rId14"/>
                    <a:stretch>
                      <a:fillRect/>
                    </a:stretch>
                  </pic:blipFill>
                  <pic:spPr>
                    <a:xfrm>
                      <a:off x="0" y="0"/>
                      <a:ext cx="5486400" cy="438912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Matrix of linear correlation coefficients (r) computed across N = 4,050 generating units.</w:t>
      </w:r>
    </w:p>
    <w:p>
      <w:pPr>
        <w:spacing w:after="120" w:line="276" w:lineRule="auto"/>
        <w:jc w:val="left"/>
      </w:pPr>
      <w:r>
        <w:rPr>
          <w:rFonts w:ascii="Times New Roman" w:hAnsi="Times New Roman"/>
          <w:i w:val="0"/>
          <w:sz w:val="22"/>
        </w:rPr>
        <w:t>Figure 4 presents the pairwise correlation structure among quantitative variables. Nameplate electrical capacity (Capacity_MW) correlates strongly with Heat Input Rate (r = 0.869, p &lt; 0.001) and binary High_Emitter status (r = 0.672, p &lt; 0.001). Abatement density (Control_Count) correlates positively with Heat Input Rate (r = 0.366), while Unit_Age shows moderate positive correlations with Control_Count (r = 0.147) and Heat Input Rate (r = 0.119). Because pairwise correlations among explanatory predictors (Capacity_MW, Unit_Age, Control_Count) remain below r = 0.25, Variance Inflation Factors (VIF &lt; 1.35) confirm the absence of harmful multicollinearity. Table 4 summarizes the modeling implications of Figures 1–4.</w:t>
      </w:r>
    </w:p>
    <w:p>
      <w:pPr>
        <w:keepNext/>
        <w:spacing w:before="240" w:after="40"/>
      </w:pPr>
      <w:r>
        <w:rPr>
          <w:rFonts w:ascii="Times New Roman" w:hAnsi="Times New Roman"/>
          <w:b/>
          <w:sz w:val="22"/>
        </w:rPr>
        <w:t>Table 4</w:t>
      </w:r>
    </w:p>
    <w:p>
      <w:pPr>
        <w:keepNext/>
        <w:spacing w:before="0" w:after="120"/>
      </w:pPr>
      <w:r>
        <w:rPr>
          <w:rFonts w:ascii="Times New Roman" w:hAnsi="Times New Roman"/>
          <w:i/>
          <w:sz w:val="22"/>
        </w:rPr>
        <w:t>Synthesis of Exploratory Data Analysis Findings and Modeling Implications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Visual Ref</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Diagnostic Focus</w:t>
            </w:r>
          </w:p>
        </w:tc>
        <w:tc>
          <w:tcPr>
            <w:tcW w:type="dxa" w:w="2304"/>
            <w:tcBorders>
              <w:bottom w:val="single" w:sz="12" w:space="0" w:color="000000"/>
            </w:tcBorders>
            <w:shd w:fill="F4F6F8"/>
          </w:tcPr>
          <w:p>
            <w:pPr>
              <w:spacing w:before="60" w:after="60" w:line="240" w:lineRule="auto"/>
              <w:jc w:val="center"/>
            </w:pPr>
            <w:r>
              <w:rPr>
                <w:rFonts w:ascii="Times New Roman" w:hAnsi="Times New Roman"/>
                <w:b/>
                <w:sz w:val="19"/>
              </w:rPr>
              <w:t>Empirical Finding</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Research Question Link</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Methodological Action Taken</w:t>
            </w:r>
          </w:p>
        </w:tc>
      </w:tr>
      <w:tr>
        <w:tc>
          <w:tcPr>
            <w:tcW w:type="dxa" w:w="1440"/>
          </w:tcPr>
          <w:p>
            <w:pPr>
              <w:spacing w:before="40" w:after="40" w:line="252" w:lineRule="auto"/>
              <w:jc w:val="left"/>
            </w:pPr>
            <w:r>
              <w:rPr>
                <w:rFonts w:ascii="Times New Roman" w:hAnsi="Times New Roman"/>
                <w:sz w:val="18"/>
              </w:rPr>
              <w:t>Figure 1</w:t>
            </w:r>
          </w:p>
        </w:tc>
        <w:tc>
          <w:tcPr>
            <w:tcW w:type="dxa" w:w="2016"/>
          </w:tcPr>
          <w:p>
            <w:pPr>
              <w:spacing w:before="40" w:after="40" w:line="252" w:lineRule="auto"/>
              <w:jc w:val="left"/>
            </w:pPr>
            <w:r>
              <w:rPr>
                <w:rFonts w:ascii="Times New Roman" w:hAnsi="Times New Roman"/>
                <w:sz w:val="18"/>
              </w:rPr>
              <w:t>Fuel-Stratified Thermal Boxplots</w:t>
            </w:r>
          </w:p>
        </w:tc>
        <w:tc>
          <w:tcPr>
            <w:tcW w:type="dxa" w:w="2304"/>
          </w:tcPr>
          <w:p>
            <w:pPr>
              <w:spacing w:before="40" w:after="40" w:line="252" w:lineRule="auto"/>
              <w:jc w:val="left"/>
            </w:pPr>
            <w:r>
              <w:rPr>
                <w:rFonts w:ascii="Times New Roman" w:hAnsi="Times New Roman"/>
                <w:sz w:val="18"/>
              </w:rPr>
              <w:t>Coal boilers average 5,221.2 mmBtu/hr vs 1,553.0 for Natural Gas and 776.6 for Oil/Diesel.</w:t>
            </w:r>
          </w:p>
        </w:tc>
        <w:tc>
          <w:tcPr>
            <w:tcW w:type="dxa" w:w="2160"/>
          </w:tcPr>
          <w:p>
            <w:pPr>
              <w:spacing w:before="40" w:after="40" w:line="252" w:lineRule="auto"/>
              <w:jc w:val="left"/>
            </w:pPr>
            <w:r>
              <w:rPr>
                <w:rFonts w:ascii="Times New Roman" w:hAnsi="Times New Roman"/>
                <w:sz w:val="18"/>
              </w:rPr>
              <w:t>Tests RQ1 fuel hypothesis; reveals strong positive skewness and unequal group variances.</w:t>
            </w:r>
          </w:p>
        </w:tc>
        <w:tc>
          <w:tcPr>
            <w:tcW w:type="dxa" w:w="2160"/>
          </w:tcPr>
          <w:p>
            <w:pPr>
              <w:spacing w:before="40" w:after="40" w:line="252" w:lineRule="auto"/>
              <w:jc w:val="left"/>
            </w:pPr>
            <w:r>
              <w:rPr>
                <w:rFonts w:ascii="Times New Roman" w:hAnsi="Times New Roman"/>
                <w:sz w:val="18"/>
              </w:rPr>
              <w:t>Combine parametric ANOVA with rank-based Kruskal-Wallis; include fuel indicators in ML.</w:t>
            </w:r>
          </w:p>
        </w:tc>
      </w:tr>
      <w:tr>
        <w:tc>
          <w:tcPr>
            <w:tcW w:type="dxa" w:w="1440"/>
            <w:shd w:fill="FAFAFA"/>
          </w:tcPr>
          <w:p>
            <w:pPr>
              <w:spacing w:before="40" w:after="40" w:line="252" w:lineRule="auto"/>
              <w:jc w:val="left"/>
            </w:pPr>
            <w:r>
              <w:rPr>
                <w:rFonts w:ascii="Times New Roman" w:hAnsi="Times New Roman"/>
                <w:sz w:val="18"/>
              </w:rPr>
              <w:t>Figure 2</w:t>
            </w:r>
          </w:p>
        </w:tc>
        <w:tc>
          <w:tcPr>
            <w:tcW w:type="dxa" w:w="2016"/>
            <w:shd w:fill="FAFAFA"/>
          </w:tcPr>
          <w:p>
            <w:pPr>
              <w:spacing w:before="40" w:after="40" w:line="252" w:lineRule="auto"/>
              <w:jc w:val="left"/>
            </w:pPr>
            <w:r>
              <w:rPr>
                <w:rFonts w:ascii="Times New Roman" w:hAnsi="Times New Roman"/>
                <w:sz w:val="18"/>
              </w:rPr>
              <w:t>Technology Prevalence vs Scale</w:t>
            </w:r>
          </w:p>
        </w:tc>
        <w:tc>
          <w:tcPr>
            <w:tcW w:type="dxa" w:w="2304"/>
            <w:shd w:fill="FAFAFA"/>
          </w:tcPr>
          <w:p>
            <w:pPr>
              <w:spacing w:before="40" w:after="40" w:line="252" w:lineRule="auto"/>
              <w:jc w:val="left"/>
            </w:pPr>
            <w:r>
              <w:rPr>
                <w:rFonts w:ascii="Times New Roman" w:hAnsi="Times New Roman"/>
                <w:sz w:val="18"/>
              </w:rPr>
              <w:t>Gas turbines represent 77.1% of unit counts, whereas Tangential (5,526) and Wall-Fired (3,991) boilers lead in heat rate.</w:t>
            </w:r>
          </w:p>
        </w:tc>
        <w:tc>
          <w:tcPr>
            <w:tcW w:type="dxa" w:w="2160"/>
            <w:shd w:fill="FAFAFA"/>
          </w:tcPr>
          <w:p>
            <w:pPr>
              <w:spacing w:before="40" w:after="40" w:line="252" w:lineRule="auto"/>
              <w:jc w:val="left"/>
            </w:pPr>
            <w:r>
              <w:rPr>
                <w:rFonts w:ascii="Times New Roman" w:hAnsi="Times New Roman"/>
                <w:sz w:val="18"/>
              </w:rPr>
              <w:t>Connects furnace architecture to upper-quartile emission classification (RQ2).</w:t>
            </w:r>
          </w:p>
        </w:tc>
        <w:tc>
          <w:tcPr>
            <w:tcW w:type="dxa" w:w="2160"/>
            <w:shd w:fill="FAFAFA"/>
          </w:tcPr>
          <w:p>
            <w:pPr>
              <w:spacing w:before="40" w:after="40" w:line="252" w:lineRule="auto"/>
              <w:jc w:val="left"/>
            </w:pPr>
            <w:r>
              <w:rPr>
                <w:rFonts w:ascii="Times New Roman" w:hAnsi="Times New Roman"/>
                <w:sz w:val="18"/>
              </w:rPr>
              <w:t>Incorporate consolidated Unit_Type_Category dummies into classification pipelines.</w:t>
            </w:r>
          </w:p>
        </w:tc>
      </w:tr>
      <w:tr>
        <w:tc>
          <w:tcPr>
            <w:tcW w:type="dxa" w:w="1440"/>
          </w:tcPr>
          <w:p>
            <w:pPr>
              <w:spacing w:before="40" w:after="40" w:line="252" w:lineRule="auto"/>
              <w:jc w:val="left"/>
            </w:pPr>
            <w:r>
              <w:rPr>
                <w:rFonts w:ascii="Times New Roman" w:hAnsi="Times New Roman"/>
                <w:sz w:val="18"/>
              </w:rPr>
              <w:t>Figure 3</w:t>
            </w:r>
          </w:p>
        </w:tc>
        <w:tc>
          <w:tcPr>
            <w:tcW w:type="dxa" w:w="2016"/>
          </w:tcPr>
          <w:p>
            <w:pPr>
              <w:spacing w:before="40" w:after="40" w:line="252" w:lineRule="auto"/>
              <w:jc w:val="left"/>
            </w:pPr>
            <w:r>
              <w:rPr>
                <w:rFonts w:ascii="Times New Roman" w:hAnsi="Times New Roman"/>
                <w:sz w:val="18"/>
              </w:rPr>
              <w:t>Scrubber Adoption by Fuel Type</w:t>
            </w:r>
          </w:p>
        </w:tc>
        <w:tc>
          <w:tcPr>
            <w:tcW w:type="dxa" w:w="2304"/>
          </w:tcPr>
          <w:p>
            <w:pPr>
              <w:spacing w:before="40" w:after="40" w:line="252" w:lineRule="auto"/>
              <w:jc w:val="left"/>
            </w:pPr>
            <w:r>
              <w:rPr>
                <w:rFonts w:ascii="Times New Roman" w:hAnsi="Times New Roman"/>
                <w:sz w:val="18"/>
              </w:rPr>
              <w:t>NOx abatement exceeds 85% across gas/coal, while SO2, PM, and Hg controls cluster (&gt;80%) in coal units.</w:t>
            </w:r>
          </w:p>
        </w:tc>
        <w:tc>
          <w:tcPr>
            <w:tcW w:type="dxa" w:w="2160"/>
          </w:tcPr>
          <w:p>
            <w:pPr>
              <w:spacing w:before="40" w:after="40" w:line="252" w:lineRule="auto"/>
              <w:jc w:val="left"/>
            </w:pPr>
            <w:r>
              <w:rPr>
                <w:rFonts w:ascii="Times New Roman" w:hAnsi="Times New Roman"/>
                <w:sz w:val="18"/>
              </w:rPr>
              <w:t>Reflects statutory compliance capital intensity across RQ2, RQ3, and RQ4.</w:t>
            </w:r>
          </w:p>
        </w:tc>
        <w:tc>
          <w:tcPr>
            <w:tcW w:type="dxa" w:w="2160"/>
          </w:tcPr>
          <w:p>
            <w:pPr>
              <w:spacing w:before="40" w:after="40" w:line="252" w:lineRule="auto"/>
              <w:jc w:val="left"/>
            </w:pPr>
            <w:r>
              <w:rPr>
                <w:rFonts w:ascii="Times New Roman" w:hAnsi="Times New Roman"/>
                <w:sz w:val="18"/>
              </w:rPr>
              <w:t>Construct discrete Control_Count (0–4) as an econometric control and clustering axis.</w:t>
            </w:r>
          </w:p>
        </w:tc>
      </w:tr>
      <w:tr>
        <w:tc>
          <w:tcPr>
            <w:tcW w:type="dxa" w:w="1440"/>
            <w:shd w:fill="FAFAFA"/>
          </w:tcPr>
          <w:p>
            <w:pPr>
              <w:spacing w:before="40" w:after="40" w:line="252" w:lineRule="auto"/>
              <w:jc w:val="left"/>
            </w:pPr>
            <w:r>
              <w:rPr>
                <w:rFonts w:ascii="Times New Roman" w:hAnsi="Times New Roman"/>
                <w:sz w:val="18"/>
              </w:rPr>
              <w:t>Figure 4</w:t>
            </w:r>
          </w:p>
        </w:tc>
        <w:tc>
          <w:tcPr>
            <w:tcW w:type="dxa" w:w="2016"/>
            <w:shd w:fill="FAFAFA"/>
          </w:tcPr>
          <w:p>
            <w:pPr>
              <w:spacing w:before="40" w:after="40" w:line="252" w:lineRule="auto"/>
              <w:jc w:val="left"/>
            </w:pPr>
            <w:r>
              <w:rPr>
                <w:rFonts w:ascii="Times New Roman" w:hAnsi="Times New Roman"/>
                <w:sz w:val="18"/>
              </w:rPr>
              <w:t>Pearson Correlation Matrix</w:t>
            </w:r>
          </w:p>
        </w:tc>
        <w:tc>
          <w:tcPr>
            <w:tcW w:type="dxa" w:w="2304"/>
            <w:shd w:fill="FAFAFA"/>
          </w:tcPr>
          <w:p>
            <w:pPr>
              <w:spacing w:before="40" w:after="40" w:line="252" w:lineRule="auto"/>
              <w:jc w:val="left"/>
            </w:pPr>
            <w:r>
              <w:rPr>
                <w:rFonts w:ascii="Times New Roman" w:hAnsi="Times New Roman"/>
                <w:sz w:val="18"/>
              </w:rPr>
              <w:t>Capacity_MW tracks Heat Input closely (r = 0.869); Unit_Age shows r = 0.119; low inter-predictor collinearity.</w:t>
            </w:r>
          </w:p>
        </w:tc>
        <w:tc>
          <w:tcPr>
            <w:tcW w:type="dxa" w:w="2160"/>
            <w:shd w:fill="FAFAFA"/>
          </w:tcPr>
          <w:p>
            <w:pPr>
              <w:spacing w:before="40" w:after="40" w:line="252" w:lineRule="auto"/>
              <w:jc w:val="left"/>
            </w:pPr>
            <w:r>
              <w:rPr>
                <w:rFonts w:ascii="Times New Roman" w:hAnsi="Times New Roman"/>
                <w:sz w:val="18"/>
              </w:rPr>
              <w:t>Guides RQ3 confounding analysis and RQ4 distance standardization.</w:t>
            </w:r>
          </w:p>
        </w:tc>
        <w:tc>
          <w:tcPr>
            <w:tcW w:type="dxa" w:w="2160"/>
            <w:shd w:fill="FAFAFA"/>
          </w:tcPr>
          <w:p>
            <w:pPr>
              <w:spacing w:before="40" w:after="40" w:line="252" w:lineRule="auto"/>
              <w:jc w:val="left"/>
            </w:pPr>
            <w:r>
              <w:rPr>
                <w:rFonts w:ascii="Times New Roman" w:hAnsi="Times New Roman"/>
                <w:sz w:val="18"/>
              </w:rPr>
              <w:t>Compare bivariate vs capacity-adjusted OLS; apply log1p and Z-score scaling for K-Means.</w:t>
            </w:r>
          </w:p>
        </w:tc>
      </w:tr>
    </w:tbl>
    <w:p>
      <w:pPr>
        <w:spacing w:before="60" w:after="240"/>
      </w:pPr>
      <w:r>
        <w:rPr>
          <w:rFonts w:ascii="Times New Roman" w:hAnsi="Times New Roman"/>
          <w:i/>
          <w:sz w:val="18"/>
        </w:rPr>
        <w:t xml:space="preserve">Note. </w:t>
      </w:r>
      <w:r>
        <w:rPr>
          <w:rFonts w:ascii="Times New Roman" w:hAnsi="Times New Roman"/>
          <w:sz w:val="18"/>
        </w:rPr>
        <w:t>Mapping of exploratory visual diagnostics to econometric, classification, and clustering design decisions.</w:t>
      </w:r>
    </w:p>
    <w:p>
      <w:pPr>
        <w:keepNext/>
        <w:spacing w:before="240" w:after="120"/>
        <w:jc w:val="left"/>
      </w:pPr>
      <w:r>
        <w:rPr>
          <w:rFonts w:ascii="Times New Roman" w:hAnsi="Times New Roman"/>
          <w:b/>
          <w:color w:val="19375F"/>
          <w:sz w:val="24"/>
        </w:rPr>
        <w:t>Research Hypotheses and Statistical Methods Evaluated at α = 0.05</w:t>
      </w:r>
    </w:p>
    <w:p>
      <w:pPr>
        <w:spacing w:after="120" w:line="276" w:lineRule="auto"/>
        <w:jc w:val="left"/>
      </w:pPr>
      <w:r>
        <w:rPr>
          <w:rFonts w:ascii="Times New Roman" w:hAnsi="Times New Roman"/>
          <w:i w:val="0"/>
          <w:sz w:val="22"/>
        </w:rPr>
        <w:t>Formal null (H₀) and alternative (Hₐ) hypotheses were established for each research question and tested at a two-tailed significance criterion of α = 0.05:</w:t>
      </w:r>
    </w:p>
    <w:p>
      <w:pPr>
        <w:keepNext/>
        <w:spacing w:before="160" w:after="80"/>
        <w:jc w:val="left"/>
      </w:pPr>
      <w:r>
        <w:rPr>
          <w:rFonts w:ascii="Times New Roman" w:hAnsi="Times New Roman"/>
          <w:b/>
          <w:i/>
          <w:color w:val="282828"/>
          <w:sz w:val="22"/>
        </w:rPr>
        <w:t>RQ1 Hypotheses and Inferential Methods (One-Way ANOVA, Kruskal-Wallis, Tukey HSD)</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Population mean and median maximum hourly thermal input rates are identical across all five primary fuel categories (μ_Coal = μ_NaturalGas = μ_OilDiesel = μ_Biomass = μ_Other).</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At least one primary fuel class differs significantly in mean or median maximum hourly thermal input rate (∃ i, j : μ_i ≠ μ_j at α = 0.05).</w:t>
      </w:r>
    </w:p>
    <w:p>
      <w:pPr>
        <w:spacing w:after="160" w:line="276" w:lineRule="auto"/>
        <w:jc w:val="left"/>
      </w:pPr>
      <w:r>
        <w:rPr>
          <w:rFonts w:ascii="Times New Roman" w:hAnsi="Times New Roman"/>
          <w:b/>
          <w:sz w:val="22"/>
        </w:rPr>
        <w:t xml:space="preserve">Methodological Justification: </w:t>
      </w:r>
      <w:r>
        <w:rPr>
          <w:rFonts w:ascii="Times New Roman" w:hAnsi="Times New Roman"/>
          <w:i w:val="0"/>
          <w:sz w:val="22"/>
        </w:rPr>
        <w:t>Omnibus testing combined parametric One-Way ANOVA (F = MS_between / MS_within with df₁ = 4, df₂ = 4,045) and Eta-squared effect size (η² = SS_between / SS_total) with the distribution-free Kruskal-Wallis rank test (H-statistic with df = 4). Pairwise fuel contrasts were evaluated using Tukey's Honestly Significant Difference (HSD) procedure to hold family-wise Type I error at α = 0.05.</w:t>
      </w:r>
    </w:p>
    <w:p>
      <w:pPr>
        <w:keepNext/>
        <w:spacing w:before="160" w:after="80"/>
        <w:jc w:val="left"/>
      </w:pPr>
      <w:r>
        <w:rPr>
          <w:rFonts w:ascii="Times New Roman" w:hAnsi="Times New Roman"/>
          <w:b/>
          <w:i/>
          <w:color w:val="282828"/>
          <w:sz w:val="22"/>
        </w:rPr>
        <w:t>RQ2 Hypotheses and Supervised Machine Learning Methods (Logistic Regression, Random Forest, Gradient Boosting)</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Unit-level physical and regulatory predictors yield out-of-sample classification discrimination no better than random guessing (ROC-AUC ≤ 0.50).</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Supervised classifiers trained on unit engineering attributes achieve high out-of-sample discrimination (ROC-AUC &gt;= 0.90; F1-Score &gt;= 0.80).</w:t>
      </w:r>
    </w:p>
    <w:p>
      <w:pPr>
        <w:spacing w:after="160" w:line="276" w:lineRule="auto"/>
        <w:jc w:val="left"/>
      </w:pPr>
      <w:r>
        <w:rPr>
          <w:rFonts w:ascii="Times New Roman" w:hAnsi="Times New Roman"/>
          <w:b/>
          <w:sz w:val="22"/>
        </w:rPr>
        <w:t xml:space="preserve">Model Selection Justification: </w:t>
      </w:r>
      <w:r>
        <w:rPr>
          <w:rFonts w:ascii="Times New Roman" w:hAnsi="Times New Roman"/>
          <w:i w:val="0"/>
          <w:sz w:val="22"/>
        </w:rPr>
        <w:t>Three supervised algorithms were benchmarked: (1) L2-penalized Ridge Logistic Regression with balanced class weights as a linear log-odds baseline; (2) Random Forest (150 trees, max_depth = 10, balanced weights) leveraging bootstrap aggregation and Gini Mean Decrease in Impurity (MDI) to capture nonlinear feature interactions; and (3) Gradient Boosting (100 trees, learning_rate = 0.1, max_depth = 5) sequentially minimizing binomial deviance residuals.</w:t>
      </w:r>
    </w:p>
    <w:p>
      <w:pPr>
        <w:keepNext/>
        <w:spacing w:before="160" w:after="80"/>
        <w:jc w:val="left"/>
      </w:pPr>
      <w:r>
        <w:rPr>
          <w:rFonts w:ascii="Times New Roman" w:hAnsi="Times New Roman"/>
          <w:b/>
          <w:i/>
          <w:color w:val="282828"/>
          <w:sz w:val="22"/>
        </w:rPr>
        <w:t>RQ3 Hypotheses and Econometric Regression Methods (Bivariate and Multivariate OLS)</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The linear regression coefficient relating unit operating vintage (Unit_Age) to maximum hourly heat input rate equals zero (β_Age = 0; r = 0; ρ = 0).</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Generating unit age exercises a statistically significant non-zero linear effect on thermal heat input rate (β_Age ≠ 0 at α = 0.05).</w:t>
      </w:r>
    </w:p>
    <w:p>
      <w:pPr>
        <w:spacing w:after="160" w:line="276" w:lineRule="auto"/>
        <w:jc w:val="left"/>
      </w:pPr>
      <w:r>
        <w:rPr>
          <w:rFonts w:ascii="Times New Roman" w:hAnsi="Times New Roman"/>
          <w:b/>
          <w:sz w:val="22"/>
        </w:rPr>
        <w:t xml:space="preserve">Econometric Justification: </w:t>
      </w:r>
      <w:r>
        <w:rPr>
          <w:rFonts w:ascii="Times New Roman" w:hAnsi="Times New Roman"/>
          <w:i w:val="0"/>
          <w:sz w:val="22"/>
        </w:rPr>
        <w:t>Alongside Pearson (r) and Spearman rank (ρ) correlations, two Gauss-Markov Ordinary Least Squares (OLS) equations were estimated: a Bivariate specification (Heat_Input_Rate = β₀ + β₁·Unit_Age + ε, df = 4,048) and a Multivariate specification controlling for generator scale and scrubber count (Heat_Input_Rate = β₀ + β₁·Unit_Age + β₂·Capacity_MW + β₃·Control_Count + ε, df = 4,046).</w:t>
      </w:r>
    </w:p>
    <w:p>
      <w:pPr>
        <w:keepNext/>
        <w:spacing w:before="160" w:after="80"/>
        <w:jc w:val="left"/>
      </w:pPr>
      <w:r>
        <w:rPr>
          <w:rFonts w:ascii="Times New Roman" w:hAnsi="Times New Roman"/>
          <w:b/>
          <w:i/>
          <w:color w:val="282828"/>
          <w:sz w:val="22"/>
        </w:rPr>
        <w:t>RQ4 Hypotheses and Unsupervised Segmentation Methods (K-Means Clustering and 2D PCA)</w:t>
      </w:r>
    </w:p>
    <w:p>
      <w:pPr>
        <w:spacing w:after="60" w:line="276" w:lineRule="auto"/>
        <w:jc w:val="left"/>
      </w:pPr>
      <w:r>
        <w:rPr>
          <w:rFonts w:ascii="Times New Roman" w:hAnsi="Times New Roman"/>
          <w:b/>
          <w:sz w:val="22"/>
        </w:rPr>
        <w:t xml:space="preserve">Null Hypothesis (H₀): </w:t>
      </w:r>
      <w:r>
        <w:rPr>
          <w:rFonts w:ascii="Times New Roman" w:hAnsi="Times New Roman"/>
          <w:i w:val="0"/>
          <w:sz w:val="22"/>
        </w:rPr>
        <w:t>H₀ (Null): Generating units occupy a single undifferentiated distribution in standardized operational space (average Silhouette score s ≤ 0.20).</w:t>
      </w:r>
    </w:p>
    <w:p>
      <w:pPr>
        <w:spacing w:after="60" w:line="276" w:lineRule="auto"/>
        <w:jc w:val="left"/>
      </w:pPr>
      <w:r>
        <w:rPr>
          <w:rFonts w:ascii="Times New Roman" w:hAnsi="Times New Roman"/>
          <w:b/>
          <w:sz w:val="22"/>
        </w:rPr>
        <w:t xml:space="preserve">Alternative Hypothesis (Hₐ): </w:t>
      </w:r>
      <w:r>
        <w:rPr>
          <w:rFonts w:ascii="Times New Roman" w:hAnsi="Times New Roman"/>
          <w:i w:val="0"/>
          <w:sz w:val="22"/>
        </w:rPr>
        <w:t>Hₐ (Alternative): The national fleet partitions into k &gt;= 3 compact, well-separated operational clusters (Silhouette score s &gt; 0.40).</w:t>
      </w:r>
    </w:p>
    <w:p>
      <w:pPr>
        <w:spacing w:after="240" w:line="276" w:lineRule="auto"/>
        <w:jc w:val="left"/>
      </w:pPr>
      <w:r>
        <w:rPr>
          <w:rFonts w:ascii="Times New Roman" w:hAnsi="Times New Roman"/>
          <w:b/>
          <w:sz w:val="22"/>
        </w:rPr>
        <w:t xml:space="preserve">Clustering &amp; PCA Justification: </w:t>
      </w:r>
      <w:r>
        <w:rPr>
          <w:rFonts w:ascii="Times New Roman" w:hAnsi="Times New Roman"/>
          <w:i w:val="0"/>
          <w:sz w:val="22"/>
        </w:rPr>
        <w:t>K-Means partitioning was executed across log-transformed, Z-score standardized features (Log_Capacity, Log_Heat_Input, Unit_Age, Control_Count) for k ∈ {2..7}, selecting optimal k via WCSS Elbow inflection and Silhouette maximization, followed by 2D Principal Component Analysis (PCA) orthogonal projection.</w:t>
      </w:r>
    </w:p>
    <w:p>
      <w:pPr>
        <w:keepNext/>
        <w:spacing w:before="240" w:after="120"/>
        <w:jc w:val="left"/>
      </w:pPr>
      <w:r>
        <w:rPr>
          <w:rFonts w:ascii="Times New Roman" w:hAnsi="Times New Roman"/>
          <w:b/>
          <w:color w:val="19375F"/>
          <w:sz w:val="24"/>
        </w:rPr>
        <w:t>Minimum Sample Size Computation and Statistical Power Analysis</w:t>
      </w:r>
    </w:p>
    <w:p>
      <w:pPr>
        <w:spacing w:after="120" w:line="276" w:lineRule="auto"/>
        <w:jc w:val="left"/>
      </w:pPr>
      <w:r>
        <w:rPr>
          <w:rFonts w:ascii="Times New Roman" w:hAnsi="Times New Roman"/>
          <w:i w:val="0"/>
          <w:sz w:val="22"/>
        </w:rPr>
        <w:t>To verify that N = 4,050 units provides sufficient statistical power (1 - β &gt;= 0.80 at α = 0.05), a priori minimum sample size requirements were computed following Cohen (1988) and Cochran (1977):</w:t>
      </w:r>
    </w:p>
    <w:p>
      <w:pPr>
        <w:spacing w:after="80" w:line="276" w:lineRule="auto"/>
        <w:jc w:val="left"/>
      </w:pPr>
      <w:r>
        <w:rPr>
          <w:rFonts w:ascii="Times New Roman" w:hAnsi="Times New Roman"/>
          <w:i w:val="0"/>
          <w:sz w:val="22"/>
        </w:rPr>
        <w:t>1. One-Way ANOVA (RQ1): Detecting a moderate group effect (Cohen's f = 0.25, η² ≈ 0.0588) across k = 5 fuel classes at α = 0.05 and 80% power requires N_min = 196 total units (~40 per group; 159–180 under asymptotic approximations). Our full fleet sample of N = 4,050 units exceeds this threshold by &gt;20×, yielding &gt;99.99% power.</w:t>
      </w:r>
    </w:p>
    <w:p>
      <w:pPr>
        <w:spacing w:after="80" w:line="276" w:lineRule="auto"/>
        <w:jc w:val="left"/>
      </w:pPr>
      <w:r>
        <w:rPr>
          <w:rFonts w:ascii="Times New Roman" w:hAnsi="Times New Roman"/>
          <w:i w:val="0"/>
          <w:sz w:val="22"/>
        </w:rPr>
        <w:t>2. Supervised Classification (RQ2): Under Peduzzi et al.'s (1996) events-per-variable (EPV) criterion of 10–20 positive events per feature across 18 predictor parameters (180–360 positive cases), a 25.14% high-emitter prevalence requires N_min = 716 to 1,432 units. Our 4,050-unit dataset contains 1,018 high emitters—providing N = 3,240 training units (814 positives) and N = 810 holdout test units (204 positives, 606 negatives)—surpassing minimum requirements by 3× to 13×.</w:t>
      </w:r>
    </w:p>
    <w:p>
      <w:pPr>
        <w:spacing w:after="80" w:line="276" w:lineRule="auto"/>
        <w:jc w:val="left"/>
      </w:pPr>
      <w:r>
        <w:rPr>
          <w:rFonts w:ascii="Times New Roman" w:hAnsi="Times New Roman"/>
          <w:i w:val="0"/>
          <w:sz w:val="22"/>
        </w:rPr>
        <w:t>3. OLS Econometric Regression (RQ3): Green's (1991) and Cohen's (1988) power bounds for m = 3 predictors require N_min = 300 to 782 observations to detect small partial correlations (r ≈ 0.10) at 80% power. Estimating OLS across all N = 4,050 units (df = 4,046) exceeds this bound by &gt;5×.</w:t>
      </w:r>
    </w:p>
    <w:p>
      <w:pPr>
        <w:spacing w:after="120" w:line="276" w:lineRule="auto"/>
        <w:jc w:val="left"/>
      </w:pPr>
      <w:r>
        <w:rPr>
          <w:rFonts w:ascii="Times New Roman" w:hAnsi="Times New Roman"/>
          <w:i w:val="0"/>
          <w:sz w:val="22"/>
        </w:rPr>
        <w:t>4. K-Means &amp; PCA Segmentation (RQ4): Multivariate clustering rules (Formann, 1984; Dolnicar, 2002) require N_min = 160 to 300 observations for d = 4 dimensions and k = 4 clusters. Our N = 4,050 sample exceeds this bound by &gt;13×. Table 5 summarizes the exact sample allocation across all models.</w:t>
      </w:r>
    </w:p>
    <w:p>
      <w:pPr>
        <w:keepNext/>
        <w:spacing w:before="240" w:after="40"/>
      </w:pPr>
      <w:r>
        <w:rPr>
          <w:rFonts w:ascii="Times New Roman" w:hAnsi="Times New Roman"/>
          <w:b/>
          <w:sz w:val="22"/>
        </w:rPr>
        <w:t>Table 5</w:t>
      </w:r>
    </w:p>
    <w:p>
      <w:pPr>
        <w:keepNext/>
        <w:spacing w:before="0" w:after="120"/>
      </w:pPr>
      <w:r>
        <w:rPr>
          <w:rFonts w:ascii="Times New Roman" w:hAnsi="Times New Roman"/>
          <w:i/>
          <w:sz w:val="22"/>
        </w:rPr>
        <w:t>Sample Allocation, Partitioning Architecture, and Statistical Power Verification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Analytical Stage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Models Executed</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Analyzed 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Estimation Partition</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Validation / Holdout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Minimum Required N</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Statistical Power Evaluation</w:t>
            </w:r>
          </w:p>
        </w:tc>
      </w:tr>
      <w:tr>
        <w:tc>
          <w:tcPr>
            <w:tcW w:type="dxa" w:w="1584"/>
          </w:tcPr>
          <w:p>
            <w:pPr>
              <w:spacing w:before="40" w:after="40" w:line="252" w:lineRule="auto"/>
              <w:jc w:val="left"/>
            </w:pPr>
            <w:r>
              <w:rPr>
                <w:rFonts w:ascii="Times New Roman" w:hAnsi="Times New Roman"/>
                <w:sz w:val="18"/>
              </w:rPr>
              <w:t>RQ1: Fuel Variance Testing</w:t>
            </w:r>
          </w:p>
        </w:tc>
        <w:tc>
          <w:tcPr>
            <w:tcW w:type="dxa" w:w="1584"/>
          </w:tcPr>
          <w:p>
            <w:pPr>
              <w:spacing w:before="40" w:after="40" w:line="252" w:lineRule="auto"/>
              <w:jc w:val="left"/>
            </w:pPr>
            <w:r>
              <w:rPr>
                <w:rFonts w:ascii="Times New Roman" w:hAnsi="Times New Roman"/>
                <w:sz w:val="18"/>
              </w:rPr>
              <w:t>One-Way ANOVA, Kruskal-Wallis, Tukey HSD</w:t>
            </w:r>
          </w:p>
        </w:tc>
        <w:tc>
          <w:tcPr>
            <w:tcW w:type="dxa" w:w="1152"/>
          </w:tcPr>
          <w:p>
            <w:pPr>
              <w:spacing w:before="40" w:after="40" w:line="252" w:lineRule="auto"/>
              <w:jc w:val="left"/>
            </w:pPr>
            <w:r>
              <w:rPr>
                <w:rFonts w:ascii="Times New Roman" w:hAnsi="Times New Roman"/>
                <w:sz w:val="18"/>
              </w:rPr>
              <w:t>4,050 units (100%)</w:t>
            </w:r>
          </w:p>
        </w:tc>
        <w:tc>
          <w:tcPr>
            <w:tcW w:type="dxa" w:w="1296"/>
          </w:tcPr>
          <w:p>
            <w:pPr>
              <w:spacing w:before="40" w:after="40" w:line="252" w:lineRule="auto"/>
              <w:jc w:val="left"/>
            </w:pPr>
            <w:r>
              <w:rPr>
                <w:rFonts w:ascii="Times New Roman" w:hAnsi="Times New Roman"/>
                <w:sz w:val="18"/>
              </w:rPr>
              <w:t>4,050 units (Complete fleet)</w:t>
            </w:r>
          </w:p>
        </w:tc>
        <w:tc>
          <w:tcPr>
            <w:tcW w:type="dxa" w:w="1584"/>
          </w:tcPr>
          <w:p>
            <w:pPr>
              <w:spacing w:before="40" w:after="40" w:line="252" w:lineRule="auto"/>
              <w:jc w:val="left"/>
            </w:pPr>
            <w:r>
              <w:rPr>
                <w:rFonts w:ascii="Times New Roman" w:hAnsi="Times New Roman"/>
                <w:sz w:val="18"/>
              </w:rPr>
              <w:t>Omnibus &amp; pairwise tests (df = 4, 4045)</w:t>
            </w:r>
          </w:p>
        </w:tc>
        <w:tc>
          <w:tcPr>
            <w:tcW w:type="dxa" w:w="1440"/>
          </w:tcPr>
          <w:p>
            <w:pPr>
              <w:spacing w:before="40" w:after="40" w:line="252" w:lineRule="auto"/>
              <w:jc w:val="left"/>
            </w:pPr>
            <w:r>
              <w:rPr>
                <w:rFonts w:ascii="Times New Roman" w:hAnsi="Times New Roman"/>
                <w:sz w:val="18"/>
              </w:rPr>
              <w:t>159–196 units (f = 0.25, α = 0.05, 80% power)</w:t>
            </w:r>
          </w:p>
        </w:tc>
        <w:tc>
          <w:tcPr>
            <w:tcW w:type="dxa" w:w="1440"/>
          </w:tcPr>
          <w:p>
            <w:pPr>
              <w:spacing w:before="40" w:after="40" w:line="252" w:lineRule="auto"/>
              <w:jc w:val="left"/>
            </w:pPr>
            <w:r>
              <w:rPr>
                <w:rFonts w:ascii="Times New Roman" w:hAnsi="Times New Roman"/>
                <w:sz w:val="18"/>
              </w:rPr>
              <w:t>Surpasses bound by &gt;20×; statistical power &gt;99.9%.</w:t>
            </w:r>
          </w:p>
        </w:tc>
      </w:tr>
      <w:tr>
        <w:tc>
          <w:tcPr>
            <w:tcW w:type="dxa" w:w="1584"/>
            <w:shd w:fill="FAFAFA"/>
          </w:tcPr>
          <w:p>
            <w:pPr>
              <w:spacing w:before="40" w:after="40" w:line="252" w:lineRule="auto"/>
              <w:jc w:val="left"/>
            </w:pPr>
            <w:r>
              <w:rPr>
                <w:rFonts w:ascii="Times New Roman" w:hAnsi="Times New Roman"/>
                <w:sz w:val="18"/>
              </w:rPr>
              <w:t>RQ2: High-Emitter Classification</w:t>
            </w:r>
          </w:p>
        </w:tc>
        <w:tc>
          <w:tcPr>
            <w:tcW w:type="dxa" w:w="1584"/>
            <w:shd w:fill="FAFAFA"/>
          </w:tcPr>
          <w:p>
            <w:pPr>
              <w:spacing w:before="40" w:after="40" w:line="252" w:lineRule="auto"/>
              <w:jc w:val="left"/>
            </w:pPr>
            <w:r>
              <w:rPr>
                <w:rFonts w:ascii="Times New Roman" w:hAnsi="Times New Roman"/>
                <w:sz w:val="18"/>
              </w:rPr>
              <w:t>Ridge Logistic, Random Forest, Gradient Boosting</w:t>
            </w:r>
          </w:p>
        </w:tc>
        <w:tc>
          <w:tcPr>
            <w:tcW w:type="dxa" w:w="1152"/>
            <w:shd w:fill="FAFAFA"/>
          </w:tcPr>
          <w:p>
            <w:pPr>
              <w:spacing w:before="40" w:after="40" w:line="252" w:lineRule="auto"/>
              <w:jc w:val="left"/>
            </w:pPr>
            <w:r>
              <w:rPr>
                <w:rFonts w:ascii="Times New Roman" w:hAnsi="Times New Roman"/>
                <w:sz w:val="18"/>
              </w:rPr>
              <w:t>4,050 units (100%)</w:t>
            </w:r>
          </w:p>
        </w:tc>
        <w:tc>
          <w:tcPr>
            <w:tcW w:type="dxa" w:w="1296"/>
            <w:shd w:fill="FAFAFA"/>
          </w:tcPr>
          <w:p>
            <w:pPr>
              <w:spacing w:before="40" w:after="40" w:line="252" w:lineRule="auto"/>
              <w:jc w:val="left"/>
            </w:pPr>
            <w:r>
              <w:rPr>
                <w:rFonts w:ascii="Times New Roman" w:hAnsi="Times New Roman"/>
                <w:sz w:val="18"/>
              </w:rPr>
              <w:t>3,240 units (80% split; 5-fold CV)</w:t>
            </w:r>
          </w:p>
        </w:tc>
        <w:tc>
          <w:tcPr>
            <w:tcW w:type="dxa" w:w="1584"/>
            <w:shd w:fill="FAFAFA"/>
          </w:tcPr>
          <w:p>
            <w:pPr>
              <w:spacing w:before="40" w:after="40" w:line="252" w:lineRule="auto"/>
              <w:jc w:val="left"/>
            </w:pPr>
            <w:r>
              <w:rPr>
                <w:rFonts w:ascii="Times New Roman" w:hAnsi="Times New Roman"/>
                <w:sz w:val="18"/>
              </w:rPr>
              <w:t>810 units (20% holdout: 204 High / 606 Low)</w:t>
            </w:r>
          </w:p>
        </w:tc>
        <w:tc>
          <w:tcPr>
            <w:tcW w:type="dxa" w:w="1440"/>
            <w:shd w:fill="FAFAFA"/>
          </w:tcPr>
          <w:p>
            <w:pPr>
              <w:spacing w:before="40" w:after="40" w:line="252" w:lineRule="auto"/>
              <w:jc w:val="left"/>
            </w:pPr>
            <w:r>
              <w:rPr>
                <w:rFonts w:ascii="Times New Roman" w:hAnsi="Times New Roman"/>
                <w:sz w:val="18"/>
              </w:rPr>
              <w:t>716–1,432 units (10–20 EPV criterion)</w:t>
            </w:r>
          </w:p>
        </w:tc>
        <w:tc>
          <w:tcPr>
            <w:tcW w:type="dxa" w:w="1440"/>
            <w:shd w:fill="FAFAFA"/>
          </w:tcPr>
          <w:p>
            <w:pPr>
              <w:spacing w:before="40" w:after="40" w:line="252" w:lineRule="auto"/>
              <w:jc w:val="left"/>
            </w:pPr>
            <w:r>
              <w:rPr>
                <w:rFonts w:ascii="Times New Roman" w:hAnsi="Times New Roman"/>
                <w:sz w:val="18"/>
              </w:rPr>
              <w:t>Surpasses bound by 3×–13×; strict train/test isolation.</w:t>
            </w:r>
          </w:p>
        </w:tc>
      </w:tr>
      <w:tr>
        <w:tc>
          <w:tcPr>
            <w:tcW w:type="dxa" w:w="1584"/>
          </w:tcPr>
          <w:p>
            <w:pPr>
              <w:spacing w:before="40" w:after="40" w:line="252" w:lineRule="auto"/>
              <w:jc w:val="left"/>
            </w:pPr>
            <w:r>
              <w:rPr>
                <w:rFonts w:ascii="Times New Roman" w:hAnsi="Times New Roman"/>
                <w:sz w:val="18"/>
              </w:rPr>
              <w:t>RQ3: Vintage &amp; Scale OLS</w:t>
            </w:r>
          </w:p>
        </w:tc>
        <w:tc>
          <w:tcPr>
            <w:tcW w:type="dxa" w:w="1584"/>
          </w:tcPr>
          <w:p>
            <w:pPr>
              <w:spacing w:before="40" w:after="40" w:line="252" w:lineRule="auto"/>
              <w:jc w:val="left"/>
            </w:pPr>
            <w:r>
              <w:rPr>
                <w:rFonts w:ascii="Times New Roman" w:hAnsi="Times New Roman"/>
                <w:sz w:val="18"/>
              </w:rPr>
              <w:t>Bivariate &amp; Multivariate OLS Econometrics</w:t>
            </w:r>
          </w:p>
        </w:tc>
        <w:tc>
          <w:tcPr>
            <w:tcW w:type="dxa" w:w="1152"/>
          </w:tcPr>
          <w:p>
            <w:pPr>
              <w:spacing w:before="40" w:after="40" w:line="252" w:lineRule="auto"/>
              <w:jc w:val="left"/>
            </w:pPr>
            <w:r>
              <w:rPr>
                <w:rFonts w:ascii="Times New Roman" w:hAnsi="Times New Roman"/>
                <w:sz w:val="18"/>
              </w:rPr>
              <w:t>4,050 units (100%)</w:t>
            </w:r>
          </w:p>
        </w:tc>
        <w:tc>
          <w:tcPr>
            <w:tcW w:type="dxa" w:w="1296"/>
          </w:tcPr>
          <w:p>
            <w:pPr>
              <w:spacing w:before="40" w:after="40" w:line="252" w:lineRule="auto"/>
              <w:jc w:val="left"/>
            </w:pPr>
            <w:r>
              <w:rPr>
                <w:rFonts w:ascii="Times New Roman" w:hAnsi="Times New Roman"/>
                <w:sz w:val="18"/>
              </w:rPr>
              <w:t>4,050 units (Complete fleet)</w:t>
            </w:r>
          </w:p>
        </w:tc>
        <w:tc>
          <w:tcPr>
            <w:tcW w:type="dxa" w:w="1584"/>
          </w:tcPr>
          <w:p>
            <w:pPr>
              <w:spacing w:before="40" w:after="40" w:line="252" w:lineRule="auto"/>
              <w:jc w:val="left"/>
            </w:pPr>
            <w:r>
              <w:rPr>
                <w:rFonts w:ascii="Times New Roman" w:hAnsi="Times New Roman"/>
                <w:sz w:val="18"/>
              </w:rPr>
              <w:t>Parametric t/F inference (df = 4,046)</w:t>
            </w:r>
          </w:p>
        </w:tc>
        <w:tc>
          <w:tcPr>
            <w:tcW w:type="dxa" w:w="1440"/>
          </w:tcPr>
          <w:p>
            <w:pPr>
              <w:spacing w:before="40" w:after="40" w:line="252" w:lineRule="auto"/>
              <w:jc w:val="left"/>
            </w:pPr>
            <w:r>
              <w:rPr>
                <w:rFonts w:ascii="Times New Roman" w:hAnsi="Times New Roman"/>
                <w:sz w:val="18"/>
              </w:rPr>
              <w:t>300–782 units (r = 0.10 detection at 80% power)</w:t>
            </w:r>
          </w:p>
        </w:tc>
        <w:tc>
          <w:tcPr>
            <w:tcW w:type="dxa" w:w="1440"/>
          </w:tcPr>
          <w:p>
            <w:pPr>
              <w:spacing w:before="40" w:after="40" w:line="252" w:lineRule="auto"/>
              <w:jc w:val="left"/>
            </w:pPr>
            <w:r>
              <w:rPr>
                <w:rFonts w:ascii="Times New Roman" w:hAnsi="Times New Roman"/>
                <w:sz w:val="18"/>
              </w:rPr>
              <w:t>Surpasses bound by &gt;5×; highly stable slope estimates.</w:t>
            </w:r>
          </w:p>
        </w:tc>
      </w:tr>
      <w:tr>
        <w:tc>
          <w:tcPr>
            <w:tcW w:type="dxa" w:w="1584"/>
            <w:shd w:fill="FAFAFA"/>
          </w:tcPr>
          <w:p>
            <w:pPr>
              <w:spacing w:before="40" w:after="40" w:line="252" w:lineRule="auto"/>
              <w:jc w:val="left"/>
            </w:pPr>
            <w:r>
              <w:rPr>
                <w:rFonts w:ascii="Times New Roman" w:hAnsi="Times New Roman"/>
                <w:sz w:val="18"/>
              </w:rPr>
              <w:t>RQ4: Fleet Segmentation</w:t>
            </w:r>
          </w:p>
        </w:tc>
        <w:tc>
          <w:tcPr>
            <w:tcW w:type="dxa" w:w="1584"/>
            <w:shd w:fill="FAFAFA"/>
          </w:tcPr>
          <w:p>
            <w:pPr>
              <w:spacing w:before="40" w:after="40" w:line="252" w:lineRule="auto"/>
              <w:jc w:val="left"/>
            </w:pPr>
            <w:r>
              <w:rPr>
                <w:rFonts w:ascii="Times New Roman" w:hAnsi="Times New Roman"/>
                <w:sz w:val="18"/>
              </w:rPr>
              <w:t>K-Means (k = 4) &amp; 2D PCA Projection</w:t>
            </w:r>
          </w:p>
        </w:tc>
        <w:tc>
          <w:tcPr>
            <w:tcW w:type="dxa" w:w="1152"/>
            <w:shd w:fill="FAFAFA"/>
          </w:tcPr>
          <w:p>
            <w:pPr>
              <w:spacing w:before="40" w:after="40" w:line="252" w:lineRule="auto"/>
              <w:jc w:val="left"/>
            </w:pPr>
            <w:r>
              <w:rPr>
                <w:rFonts w:ascii="Times New Roman" w:hAnsi="Times New Roman"/>
                <w:sz w:val="18"/>
              </w:rPr>
              <w:t>4,050 units (100%)</w:t>
            </w:r>
          </w:p>
        </w:tc>
        <w:tc>
          <w:tcPr>
            <w:tcW w:type="dxa" w:w="1296"/>
            <w:shd w:fill="FAFAFA"/>
          </w:tcPr>
          <w:p>
            <w:pPr>
              <w:spacing w:before="40" w:after="40" w:line="252" w:lineRule="auto"/>
              <w:jc w:val="left"/>
            </w:pPr>
            <w:r>
              <w:rPr>
                <w:rFonts w:ascii="Times New Roman" w:hAnsi="Times New Roman"/>
                <w:sz w:val="18"/>
              </w:rPr>
              <w:t>4,050 units (Complete fleet)</w:t>
            </w:r>
          </w:p>
        </w:tc>
        <w:tc>
          <w:tcPr>
            <w:tcW w:type="dxa" w:w="1584"/>
            <w:shd w:fill="FAFAFA"/>
          </w:tcPr>
          <w:p>
            <w:pPr>
              <w:spacing w:before="40" w:after="40" w:line="252" w:lineRule="auto"/>
              <w:jc w:val="left"/>
            </w:pPr>
            <w:r>
              <w:rPr>
                <w:rFonts w:ascii="Times New Roman" w:hAnsi="Times New Roman"/>
                <w:sz w:val="18"/>
              </w:rPr>
              <w:t>WCSS &amp; Silhouette evaluation (k = 2..7)</w:t>
            </w:r>
          </w:p>
        </w:tc>
        <w:tc>
          <w:tcPr>
            <w:tcW w:type="dxa" w:w="1440"/>
            <w:shd w:fill="FAFAFA"/>
          </w:tcPr>
          <w:p>
            <w:pPr>
              <w:spacing w:before="40" w:after="40" w:line="252" w:lineRule="auto"/>
              <w:jc w:val="left"/>
            </w:pPr>
            <w:r>
              <w:rPr>
                <w:rFonts w:ascii="Times New Roman" w:hAnsi="Times New Roman"/>
                <w:sz w:val="18"/>
              </w:rPr>
              <w:t>160–300 units (Multivariate cluster bounds)</w:t>
            </w:r>
          </w:p>
        </w:tc>
        <w:tc>
          <w:tcPr>
            <w:tcW w:type="dxa" w:w="1440"/>
            <w:shd w:fill="FAFAFA"/>
          </w:tcPr>
          <w:p>
            <w:pPr>
              <w:spacing w:before="40" w:after="40" w:line="252" w:lineRule="auto"/>
              <w:jc w:val="left"/>
            </w:pPr>
            <w:r>
              <w:rPr>
                <w:rFonts w:ascii="Times New Roman" w:hAnsi="Times New Roman"/>
                <w:sz w:val="18"/>
              </w:rPr>
              <w:t>Surpasses bound by &gt;13×; robust centroid separation.</w:t>
            </w:r>
          </w:p>
        </w:tc>
      </w:tr>
    </w:tbl>
    <w:p>
      <w:pPr>
        <w:spacing w:before="60" w:after="240"/>
      </w:pPr>
      <w:r>
        <w:rPr>
          <w:rFonts w:ascii="Times New Roman" w:hAnsi="Times New Roman"/>
          <w:i/>
          <w:sz w:val="18"/>
        </w:rPr>
        <w:t xml:space="preserve">Note. </w:t>
      </w:r>
      <w:r>
        <w:rPr>
          <w:rFonts w:ascii="Times New Roman" w:hAnsi="Times New Roman"/>
          <w:sz w:val="18"/>
        </w:rPr>
        <w:t>Allocation of N = 4,050 generating unit records across inferential, supervised, econometric, and unsupervised models.</w:t>
      </w:r>
    </w:p>
    <w:p>
      <w:pPr>
        <w:keepNext/>
        <w:spacing w:before="240" w:after="120"/>
        <w:jc w:val="left"/>
      </w:pPr>
      <w:r>
        <w:rPr>
          <w:rFonts w:ascii="Times New Roman" w:hAnsi="Times New Roman"/>
          <w:b/>
          <w:color w:val="19375F"/>
          <w:sz w:val="24"/>
        </w:rPr>
        <w:t>Original Work, Data Splitting, Feature Engineering, and Evaluation Formulations</w:t>
      </w:r>
    </w:p>
    <w:p>
      <w:pPr>
        <w:spacing w:after="120" w:line="276" w:lineRule="auto"/>
        <w:jc w:val="left"/>
      </w:pPr>
      <w:r>
        <w:rPr>
          <w:rFonts w:ascii="Times New Roman" w:hAnsi="Times New Roman"/>
          <w:i w:val="0"/>
          <w:sz w:val="22"/>
        </w:rPr>
        <w:t>Every preprocessing script, engineered variable, statistical test, and trained classifier in this manuscript represents original analytical work (see Appendices A and B). To guarantee zero data leakage during supervised classification (RQ2), the 4,050 units were divided via stratified random sampling (random_state = 42) prior to scaling into an 80% training partition (N = 3,240: 814 high emitters [25.12%], 2,426 low emitters [74.88%]) and an unseen 20% holdout test partition (N = 810: 204 high emitters [25.19%], 606 low emitters [74.81%]). Z-score scaling parameters (StandardScaler) were estimated solely on the 3,240 training units and applied out-of-sample to the 810 test units, while 5-fold Stratified Cross-Validation (648 validation units per fold) assessed training stability. Tables 6 and 7 detail the engineered feature matrix and evaluation formulas.</w:t>
      </w:r>
    </w:p>
    <w:p>
      <w:pPr>
        <w:keepNext/>
        <w:spacing w:before="240" w:after="40"/>
      </w:pPr>
      <w:r>
        <w:rPr>
          <w:rFonts w:ascii="Times New Roman" w:hAnsi="Times New Roman"/>
          <w:b/>
          <w:sz w:val="22"/>
        </w:rPr>
        <w:t>Table 6</w:t>
      </w:r>
    </w:p>
    <w:p>
      <w:pPr>
        <w:keepNext/>
        <w:spacing w:before="0" w:after="120"/>
      </w:pPr>
      <w:r>
        <w:rPr>
          <w:rFonts w:ascii="Times New Roman" w:hAnsi="Times New Roman"/>
          <w:i/>
          <w:sz w:val="22"/>
        </w:rPr>
        <w:t>Engineered Feature Matrix and Model Utilization Map</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Variable Identifier</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Derivation Method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Mathematical Type</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Domain Justification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Models Utilizing Attribute</w:t>
            </w:r>
          </w:p>
        </w:tc>
      </w:tr>
      <w:tr>
        <w:tc>
          <w:tcPr>
            <w:tcW w:type="dxa" w:w="1728"/>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Derived via regex from generator text field</w:t>
            </w:r>
          </w:p>
        </w:tc>
        <w:tc>
          <w:tcPr>
            <w:tcW w:type="dxa" w:w="1584"/>
          </w:tcPr>
          <w:p>
            <w:pPr>
              <w:spacing w:before="40" w:after="40" w:line="252" w:lineRule="auto"/>
              <w:jc w:val="left"/>
            </w:pPr>
            <w:r>
              <w:rPr>
                <w:rFonts w:ascii="Times New Roman" w:hAnsi="Times New Roman"/>
                <w:sz w:val="18"/>
              </w:rPr>
              <w:t>Continuous Float</w:t>
            </w:r>
          </w:p>
        </w:tc>
        <w:tc>
          <w:tcPr>
            <w:tcW w:type="dxa" w:w="2592"/>
          </w:tcPr>
          <w:p>
            <w:pPr>
              <w:spacing w:before="40" w:after="40" w:line="252" w:lineRule="auto"/>
              <w:jc w:val="left"/>
            </w:pPr>
            <w:r>
              <w:rPr>
                <w:rFonts w:ascii="Times New Roman" w:hAnsi="Times New Roman"/>
                <w:sz w:val="18"/>
              </w:rPr>
              <w:t>Quantifies electrical generator nameplate rating (MWe).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Derived as 2025 minus commercial startup year</w:t>
            </w:r>
          </w:p>
        </w:tc>
        <w:tc>
          <w:tcPr>
            <w:tcW w:type="dxa" w:w="1584"/>
            <w:shd w:fill="FAFAFA"/>
          </w:tcPr>
          <w:p>
            <w:pPr>
              <w:spacing w:before="40" w:after="40" w:line="252" w:lineRule="auto"/>
              <w:jc w:val="left"/>
            </w:pPr>
            <w:r>
              <w:rPr>
                <w:rFonts w:ascii="Times New Roman" w:hAnsi="Times New Roman"/>
                <w:sz w:val="18"/>
              </w:rPr>
              <w:t>Continuous Float</w:t>
            </w:r>
          </w:p>
        </w:tc>
        <w:tc>
          <w:tcPr>
            <w:tcW w:type="dxa" w:w="2592"/>
            <w:shd w:fill="FAFAFA"/>
          </w:tcPr>
          <w:p>
            <w:pPr>
              <w:spacing w:before="40" w:after="40" w:line="252" w:lineRule="auto"/>
              <w:jc w:val="left"/>
            </w:pPr>
            <w:r>
              <w:rPr>
                <w:rFonts w:ascii="Times New Roman" w:hAnsi="Times New Roman"/>
                <w:sz w:val="18"/>
              </w:rPr>
              <w:t>Reflects boiler service vintage and regulatory era.</w:t>
            </w:r>
          </w:p>
        </w:tc>
        <w:tc>
          <w:tcPr>
            <w:tcW w:type="dxa" w:w="2160"/>
            <w:shd w:fill="FAFAFA"/>
          </w:tcPr>
          <w:p>
            <w:pPr>
              <w:spacing w:before="40" w:after="40" w:line="252" w:lineRule="auto"/>
              <w:jc w:val="left"/>
            </w:pPr>
            <w:r>
              <w:rPr>
                <w:rFonts w:ascii="Times New Roman" w:hAnsi="Times New Roman"/>
                <w:sz w:val="18"/>
              </w:rPr>
              <w:t>LR, RF, GB, OLS, K-Means, PCA</w:t>
            </w:r>
          </w:p>
        </w:tc>
      </w:tr>
      <w:tr>
        <w:tc>
          <w:tcPr>
            <w:tcW w:type="dxa" w:w="1728"/>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Derived sum of active SO2, NOx, PM, Hg flags</w:t>
            </w:r>
          </w:p>
        </w:tc>
        <w:tc>
          <w:tcPr>
            <w:tcW w:type="dxa" w:w="1584"/>
          </w:tcPr>
          <w:p>
            <w:pPr>
              <w:spacing w:before="40" w:after="40" w:line="252" w:lineRule="auto"/>
              <w:jc w:val="left"/>
            </w:pPr>
            <w:r>
              <w:rPr>
                <w:rFonts w:ascii="Times New Roman" w:hAnsi="Times New Roman"/>
                <w:sz w:val="18"/>
              </w:rPr>
              <w:t>Discrete Integer (0–4)</w:t>
            </w:r>
          </w:p>
        </w:tc>
        <w:tc>
          <w:tcPr>
            <w:tcW w:type="dxa" w:w="2592"/>
          </w:tcPr>
          <w:p>
            <w:pPr>
              <w:spacing w:before="40" w:after="40" w:line="252" w:lineRule="auto"/>
              <w:jc w:val="left"/>
            </w:pPr>
            <w:r>
              <w:rPr>
                <w:rFonts w:ascii="Times New Roman" w:hAnsi="Times New Roman"/>
                <w:sz w:val="18"/>
              </w:rPr>
              <w:t>Measures installed multi-pollutant scrubber intensity.</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Heat_Input_Rate</w:t>
            </w:r>
          </w:p>
        </w:tc>
        <w:tc>
          <w:tcPr>
            <w:tcW w:type="dxa" w:w="2016"/>
            <w:shd w:fill="FAFAFA"/>
          </w:tcPr>
          <w:p>
            <w:pPr>
              <w:spacing w:before="40" w:after="40" w:line="252" w:lineRule="auto"/>
              <w:jc w:val="left"/>
            </w:pPr>
            <w:r>
              <w:rPr>
                <w:rFonts w:ascii="Times New Roman" w:hAnsi="Times New Roman"/>
                <w:sz w:val="18"/>
              </w:rPr>
              <w:t>Standardized Max Hourly HI Rate (mmBtu/hr)</w:t>
            </w:r>
          </w:p>
        </w:tc>
        <w:tc>
          <w:tcPr>
            <w:tcW w:type="dxa" w:w="1584"/>
            <w:shd w:fill="FAFAFA"/>
          </w:tcPr>
          <w:p>
            <w:pPr>
              <w:spacing w:before="40" w:after="40" w:line="252" w:lineRule="auto"/>
              <w:jc w:val="left"/>
            </w:pPr>
            <w:r>
              <w:rPr>
                <w:rFonts w:ascii="Times New Roman" w:hAnsi="Times New Roman"/>
                <w:sz w:val="18"/>
              </w:rPr>
              <w:t>Continuous Float</w:t>
            </w:r>
          </w:p>
        </w:tc>
        <w:tc>
          <w:tcPr>
            <w:tcW w:type="dxa" w:w="2592"/>
            <w:shd w:fill="FAFAFA"/>
          </w:tcPr>
          <w:p>
            <w:pPr>
              <w:spacing w:before="40" w:after="40" w:line="252" w:lineRule="auto"/>
              <w:jc w:val="left"/>
            </w:pPr>
            <w:r>
              <w:rPr>
                <w:rFonts w:ascii="Times New Roman" w:hAnsi="Times New Roman"/>
                <w:sz w:val="18"/>
              </w:rPr>
              <w:t>Captures design hourly thermal combustion throughput.</w:t>
            </w:r>
          </w:p>
        </w:tc>
        <w:tc>
          <w:tcPr>
            <w:tcW w:type="dxa" w:w="2160"/>
            <w:shd w:fill="FAFAFA"/>
          </w:tcPr>
          <w:p>
            <w:pPr>
              <w:spacing w:before="40" w:after="40" w:line="252" w:lineRule="auto"/>
              <w:jc w:val="left"/>
            </w:pPr>
            <w:r>
              <w:rPr>
                <w:rFonts w:ascii="Times New Roman" w:hAnsi="Times New Roman"/>
                <w:sz w:val="18"/>
              </w:rPr>
              <w:t>Dependent Y (RQ1, RQ3); Clustering (RQ4)</w:t>
            </w:r>
          </w:p>
        </w:tc>
      </w:tr>
      <w:tr>
        <w:tc>
          <w:tcPr>
            <w:tcW w:type="dxa" w:w="1728"/>
          </w:tcPr>
          <w:p>
            <w:pPr>
              <w:spacing w:before="40" w:after="40" w:line="252" w:lineRule="auto"/>
              <w:jc w:val="left"/>
            </w:pPr>
            <w:r>
              <w:rPr>
                <w:rFonts w:ascii="Times New Roman" w:hAnsi="Times New Roman"/>
                <w:sz w:val="18"/>
              </w:rPr>
              <w:t>Fuel_Category</w:t>
            </w:r>
          </w:p>
        </w:tc>
        <w:tc>
          <w:tcPr>
            <w:tcW w:type="dxa" w:w="2016"/>
          </w:tcPr>
          <w:p>
            <w:pPr>
              <w:spacing w:before="40" w:after="40" w:line="252" w:lineRule="auto"/>
              <w:jc w:val="left"/>
            </w:pPr>
            <w:r>
              <w:rPr>
                <w:rFonts w:ascii="Times New Roman" w:hAnsi="Times New Roman"/>
                <w:sz w:val="18"/>
              </w:rPr>
              <w:t>Grouped from 12 raw EPA fuel codes</w:t>
            </w:r>
          </w:p>
        </w:tc>
        <w:tc>
          <w:tcPr>
            <w:tcW w:type="dxa" w:w="1584"/>
          </w:tcPr>
          <w:p>
            <w:pPr>
              <w:spacing w:before="40" w:after="40" w:line="252" w:lineRule="auto"/>
              <w:jc w:val="left"/>
            </w:pPr>
            <w:r>
              <w:rPr>
                <w:rFonts w:ascii="Times New Roman" w:hAnsi="Times New Roman"/>
                <w:sz w:val="18"/>
              </w:rPr>
              <w:t>Categorical (5 levels)</w:t>
            </w:r>
          </w:p>
        </w:tc>
        <w:tc>
          <w:tcPr>
            <w:tcW w:type="dxa" w:w="2592"/>
          </w:tcPr>
          <w:p>
            <w:pPr>
              <w:spacing w:before="40" w:after="40" w:line="252" w:lineRule="auto"/>
              <w:jc w:val="left"/>
            </w:pPr>
            <w:r>
              <w:rPr>
                <w:rFonts w:ascii="Times New Roman" w:hAnsi="Times New Roman"/>
                <w:sz w:val="18"/>
              </w:rPr>
              <w:t>Encodes chemical fuel stoichiometry and ash/sulfur profile.</w:t>
            </w:r>
          </w:p>
        </w:tc>
        <w:tc>
          <w:tcPr>
            <w:tcW w:type="dxa" w:w="2160"/>
          </w:tcPr>
          <w:p>
            <w:pPr>
              <w:spacing w:before="40" w:after="40" w:line="252" w:lineRule="auto"/>
              <w:jc w:val="left"/>
            </w:pPr>
            <w:r>
              <w:rPr>
                <w:rFonts w:ascii="Times New Roman" w:hAnsi="Times New Roman"/>
                <w:sz w:val="18"/>
              </w:rPr>
              <w:t>ANOVA, KW, LR, RF, GB</w:t>
            </w:r>
          </w:p>
        </w:tc>
      </w:tr>
      <w:tr>
        <w:tc>
          <w:tcPr>
            <w:tcW w:type="dxa" w:w="1728"/>
            <w:shd w:fill="FAFAFA"/>
          </w:tcPr>
          <w:p>
            <w:pPr>
              <w:spacing w:before="40" w:after="40" w:line="252" w:lineRule="auto"/>
              <w:jc w:val="left"/>
            </w:pPr>
            <w:r>
              <w:rPr>
                <w:rFonts w:ascii="Times New Roman" w:hAnsi="Times New Roman"/>
                <w:sz w:val="18"/>
              </w:rPr>
              <w:t>Unit_Type_Category</w:t>
            </w:r>
          </w:p>
        </w:tc>
        <w:tc>
          <w:tcPr>
            <w:tcW w:type="dxa" w:w="2016"/>
            <w:shd w:fill="FAFAFA"/>
          </w:tcPr>
          <w:p>
            <w:pPr>
              <w:spacing w:before="40" w:after="40" w:line="252" w:lineRule="auto"/>
              <w:jc w:val="left"/>
            </w:pPr>
            <w:r>
              <w:rPr>
                <w:rFonts w:ascii="Times New Roman" w:hAnsi="Times New Roman"/>
                <w:sz w:val="18"/>
              </w:rPr>
              <w:t>Grouped from 33 raw EPA unit codes</w:t>
            </w:r>
          </w:p>
        </w:tc>
        <w:tc>
          <w:tcPr>
            <w:tcW w:type="dxa" w:w="1584"/>
            <w:shd w:fill="FAFAFA"/>
          </w:tcPr>
          <w:p>
            <w:pPr>
              <w:spacing w:before="40" w:after="40" w:line="252" w:lineRule="auto"/>
              <w:jc w:val="left"/>
            </w:pPr>
            <w:r>
              <w:rPr>
                <w:rFonts w:ascii="Times New Roman" w:hAnsi="Times New Roman"/>
                <w:sz w:val="18"/>
              </w:rPr>
              <w:t>Categorical (5 levels)</w:t>
            </w:r>
          </w:p>
        </w:tc>
        <w:tc>
          <w:tcPr>
            <w:tcW w:type="dxa" w:w="2592"/>
            <w:shd w:fill="FAFAFA"/>
          </w:tcPr>
          <w:p>
            <w:pPr>
              <w:spacing w:before="40" w:after="40" w:line="252" w:lineRule="auto"/>
              <w:jc w:val="left"/>
            </w:pPr>
            <w:r>
              <w:rPr>
                <w:rFonts w:ascii="Times New Roman" w:hAnsi="Times New Roman"/>
                <w:sz w:val="18"/>
              </w:rPr>
              <w:t>Separates Rankine steam boilers from Brayton gas turbines.</w:t>
            </w:r>
          </w:p>
        </w:tc>
        <w:tc>
          <w:tcPr>
            <w:tcW w:type="dxa" w:w="2160"/>
            <w:shd w:fill="FAFAFA"/>
          </w:tcPr>
          <w:p>
            <w:pPr>
              <w:spacing w:before="40" w:after="40" w:line="252" w:lineRule="auto"/>
              <w:jc w:val="left"/>
            </w:pPr>
            <w:r>
              <w:rPr>
                <w:rFonts w:ascii="Times New Roman" w:hAnsi="Times New Roman"/>
                <w:sz w:val="18"/>
              </w:rPr>
              <w:t>LR, RF, GB</w:t>
            </w:r>
          </w:p>
        </w:tc>
      </w:tr>
      <w:tr>
        <w:tc>
          <w:tcPr>
            <w:tcW w:type="dxa" w:w="1728"/>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Source administrative region identifier</w:t>
            </w:r>
          </w:p>
        </w:tc>
        <w:tc>
          <w:tcPr>
            <w:tcW w:type="dxa" w:w="1584"/>
          </w:tcPr>
          <w:p>
            <w:pPr>
              <w:spacing w:before="40" w:after="40" w:line="252" w:lineRule="auto"/>
              <w:jc w:val="left"/>
            </w:pPr>
            <w:r>
              <w:rPr>
                <w:rFonts w:ascii="Times New Roman" w:hAnsi="Times New Roman"/>
                <w:sz w:val="18"/>
              </w:rPr>
              <w:t>Categorical (10 levels)</w:t>
            </w:r>
          </w:p>
        </w:tc>
        <w:tc>
          <w:tcPr>
            <w:tcW w:type="dxa" w:w="2592"/>
          </w:tcPr>
          <w:p>
            <w:pPr>
              <w:spacing w:before="40" w:after="40" w:line="252" w:lineRule="auto"/>
              <w:jc w:val="left"/>
            </w:pPr>
            <w:r>
              <w:rPr>
                <w:rFonts w:ascii="Times New Roman" w:hAnsi="Times New Roman"/>
                <w:sz w:val="18"/>
              </w:rPr>
              <w:t>Accounts for regional grid dispatch and enforcement office.</w:t>
            </w:r>
          </w:p>
        </w:tc>
        <w:tc>
          <w:tcPr>
            <w:tcW w:type="dxa" w:w="2160"/>
          </w:tcPr>
          <w:p>
            <w:pPr>
              <w:spacing w:before="40" w:after="40" w:line="252" w:lineRule="auto"/>
              <w:jc w:val="left"/>
            </w:pPr>
            <w:r>
              <w:rPr>
                <w:rFonts w:ascii="Times New Roman" w:hAnsi="Times New Roman"/>
                <w:sz w:val="18"/>
              </w:rPr>
              <w:t>LR, RF, GB</w:t>
            </w:r>
          </w:p>
        </w:tc>
      </w:tr>
      <w:tr>
        <w:tc>
          <w:tcPr>
            <w:tcW w:type="dxa" w:w="1728"/>
            <w:shd w:fill="FAFAFA"/>
          </w:tcPr>
          <w:p>
            <w:pPr>
              <w:spacing w:before="40" w:after="40" w:line="252" w:lineRule="auto"/>
              <w:jc w:val="left"/>
            </w:pPr>
            <w:r>
              <w:rPr>
                <w:rFonts w:ascii="Times New Roman" w:hAnsi="Times New Roman"/>
                <w:sz w:val="18"/>
              </w:rPr>
              <w:t>Log_Capacity</w:t>
            </w:r>
          </w:p>
        </w:tc>
        <w:tc>
          <w:tcPr>
            <w:tcW w:type="dxa" w:w="2016"/>
            <w:shd w:fill="FAFAFA"/>
          </w:tcPr>
          <w:p>
            <w:pPr>
              <w:spacing w:before="40" w:after="40" w:line="252" w:lineRule="auto"/>
              <w:jc w:val="left"/>
            </w:pPr>
            <w:r>
              <w:rPr>
                <w:rFonts w:ascii="Times New Roman" w:hAnsi="Times New Roman"/>
                <w:sz w:val="18"/>
              </w:rPr>
              <w:t>Derived as log(1 + Capacity_MW)</w:t>
            </w:r>
          </w:p>
        </w:tc>
        <w:tc>
          <w:tcPr>
            <w:tcW w:type="dxa" w:w="1584"/>
            <w:shd w:fill="FAFAFA"/>
          </w:tcPr>
          <w:p>
            <w:pPr>
              <w:spacing w:before="40" w:after="40" w:line="252" w:lineRule="auto"/>
              <w:jc w:val="left"/>
            </w:pPr>
            <w:r>
              <w:rPr>
                <w:rFonts w:ascii="Times New Roman" w:hAnsi="Times New Roman"/>
                <w:sz w:val="18"/>
              </w:rPr>
              <w:t>Continuous Float</w:t>
            </w:r>
          </w:p>
        </w:tc>
        <w:tc>
          <w:tcPr>
            <w:tcW w:type="dxa" w:w="2592"/>
            <w:shd w:fill="FAFAFA"/>
          </w:tcPr>
          <w:p>
            <w:pPr>
              <w:spacing w:before="40" w:after="40" w:line="252" w:lineRule="auto"/>
              <w:jc w:val="left"/>
            </w:pPr>
            <w:r>
              <w:rPr>
                <w:rFonts w:ascii="Times New Roman" w:hAnsi="Times New Roman"/>
                <w:sz w:val="18"/>
              </w:rPr>
              <w:t>Compresses right-skewed megawatt scale for Euclidean metrics.</w:t>
            </w:r>
          </w:p>
        </w:tc>
        <w:tc>
          <w:tcPr>
            <w:tcW w:type="dxa" w:w="2160"/>
            <w:shd w:fill="FAFAFA"/>
          </w:tcPr>
          <w:p>
            <w:pPr>
              <w:spacing w:before="40" w:after="40" w:line="252" w:lineRule="auto"/>
              <w:jc w:val="left"/>
            </w:pPr>
            <w:r>
              <w:rPr>
                <w:rFonts w:ascii="Times New Roman" w:hAnsi="Times New Roman"/>
                <w:sz w:val="18"/>
              </w:rPr>
              <w:t>K-Means, PCA</w:t>
            </w:r>
          </w:p>
        </w:tc>
      </w:tr>
      <w:tr>
        <w:tc>
          <w:tcPr>
            <w:tcW w:type="dxa" w:w="1728"/>
          </w:tcPr>
          <w:p>
            <w:pPr>
              <w:spacing w:before="40" w:after="40" w:line="252" w:lineRule="auto"/>
              <w:jc w:val="left"/>
            </w:pPr>
            <w:r>
              <w:rPr>
                <w:rFonts w:ascii="Times New Roman" w:hAnsi="Times New Roman"/>
                <w:sz w:val="18"/>
              </w:rPr>
              <w:t>Log_Heat_Input</w:t>
            </w:r>
          </w:p>
        </w:tc>
        <w:tc>
          <w:tcPr>
            <w:tcW w:type="dxa" w:w="2016"/>
          </w:tcPr>
          <w:p>
            <w:pPr>
              <w:spacing w:before="40" w:after="40" w:line="252" w:lineRule="auto"/>
              <w:jc w:val="left"/>
            </w:pPr>
            <w:r>
              <w:rPr>
                <w:rFonts w:ascii="Times New Roman" w:hAnsi="Times New Roman"/>
                <w:sz w:val="18"/>
              </w:rPr>
              <w:t>Derived as log(1 + Heat_Input_Rate)</w:t>
            </w:r>
          </w:p>
        </w:tc>
        <w:tc>
          <w:tcPr>
            <w:tcW w:type="dxa" w:w="1584"/>
          </w:tcPr>
          <w:p>
            <w:pPr>
              <w:spacing w:before="40" w:after="40" w:line="252" w:lineRule="auto"/>
              <w:jc w:val="left"/>
            </w:pPr>
            <w:r>
              <w:rPr>
                <w:rFonts w:ascii="Times New Roman" w:hAnsi="Times New Roman"/>
                <w:sz w:val="18"/>
              </w:rPr>
              <w:t>Continuous Float</w:t>
            </w:r>
          </w:p>
        </w:tc>
        <w:tc>
          <w:tcPr>
            <w:tcW w:type="dxa" w:w="2592"/>
          </w:tcPr>
          <w:p>
            <w:pPr>
              <w:spacing w:before="40" w:after="40" w:line="252" w:lineRule="auto"/>
              <w:jc w:val="left"/>
            </w:pPr>
            <w:r>
              <w:rPr>
                <w:rFonts w:ascii="Times New Roman" w:hAnsi="Times New Roman"/>
                <w:sz w:val="18"/>
              </w:rPr>
              <w:t>Normalizes extreme thermal variance across unit classes.</w:t>
            </w:r>
          </w:p>
        </w:tc>
        <w:tc>
          <w:tcPr>
            <w:tcW w:type="dxa" w:w="2160"/>
          </w:tcPr>
          <w:p>
            <w:pPr>
              <w:spacing w:before="40" w:after="40" w:line="252" w:lineRule="auto"/>
              <w:jc w:val="left"/>
            </w:pPr>
            <w:r>
              <w:rPr>
                <w:rFonts w:ascii="Times New Roman" w:hAnsi="Times New Roman"/>
                <w:sz w:val="18"/>
              </w:rPr>
              <w:t>K-Means, PCA</w:t>
            </w:r>
          </w:p>
        </w:tc>
      </w:tr>
      <w:tr>
        <w:tc>
          <w:tcPr>
            <w:tcW w:type="dxa" w:w="1728"/>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Derived binary indicator (HI &gt;= 2,350 mmBtu/hr)</w:t>
            </w:r>
          </w:p>
        </w:tc>
        <w:tc>
          <w:tcPr>
            <w:tcW w:type="dxa" w:w="1584"/>
            <w:shd w:fill="FAFAFA"/>
          </w:tcPr>
          <w:p>
            <w:pPr>
              <w:spacing w:before="40" w:after="40" w:line="252" w:lineRule="auto"/>
              <w:jc w:val="left"/>
            </w:pPr>
            <w:r>
              <w:rPr>
                <w:rFonts w:ascii="Times New Roman" w:hAnsi="Times New Roman"/>
                <w:sz w:val="18"/>
              </w:rPr>
              <w:t>Binary Integer (0, 1)</w:t>
            </w:r>
          </w:p>
        </w:tc>
        <w:tc>
          <w:tcPr>
            <w:tcW w:type="dxa" w:w="2592"/>
            <w:shd w:fill="FAFAFA"/>
          </w:tcPr>
          <w:p>
            <w:pPr>
              <w:spacing w:before="40" w:after="40" w:line="252" w:lineRule="auto"/>
              <w:jc w:val="left"/>
            </w:pPr>
            <w:r>
              <w:rPr>
                <w:rFonts w:ascii="Times New Roman" w:hAnsi="Times New Roman"/>
                <w:sz w:val="18"/>
              </w:rPr>
              <w:t>Flags upper-quartile thermal emitters for compliance audits.</w:t>
            </w:r>
          </w:p>
        </w:tc>
        <w:tc>
          <w:tcPr>
            <w:tcW w:type="dxa" w:w="2160"/>
            <w:shd w:fill="FAFAFA"/>
          </w:tcPr>
          <w:p>
            <w:pPr>
              <w:spacing w:before="40" w:after="40" w:line="252" w:lineRule="auto"/>
              <w:jc w:val="left"/>
            </w:pPr>
            <w:r>
              <w:rPr>
                <w:rFonts w:ascii="Times New Roman" w:hAnsi="Times New Roman"/>
                <w:sz w:val="18"/>
              </w:rPr>
              <w:t>Target Response Y in RQ2</w:t>
            </w:r>
          </w:p>
        </w:tc>
      </w:tr>
    </w:tbl>
    <w:p>
      <w:pPr>
        <w:spacing w:before="60" w:after="240"/>
      </w:pPr>
      <w:r>
        <w:rPr>
          <w:rFonts w:ascii="Times New Roman" w:hAnsi="Times New Roman"/>
          <w:i/>
          <w:sz w:val="18"/>
        </w:rPr>
        <w:t xml:space="preserve">Note. </w:t>
      </w:r>
      <w:r>
        <w:rPr>
          <w:rFonts w:ascii="Times New Roman" w:hAnsi="Times New Roman"/>
          <w:sz w:val="18"/>
        </w:rPr>
        <w:t>Summary of engineered predictors, transformations, and model assignments across RQ1–RQ4.</w:t>
      </w:r>
    </w:p>
    <w:p>
      <w:pPr>
        <w:keepNext/>
        <w:spacing w:before="240" w:after="40"/>
      </w:pPr>
      <w:r>
        <w:rPr>
          <w:rFonts w:ascii="Times New Roman" w:hAnsi="Times New Roman"/>
          <w:b/>
          <w:sz w:val="22"/>
        </w:rPr>
        <w:t>Table 7</w:t>
      </w:r>
    </w:p>
    <w:p>
      <w:pPr>
        <w:keepNext/>
        <w:spacing w:before="0" w:after="120"/>
      </w:pPr>
      <w:r>
        <w:rPr>
          <w:rFonts w:ascii="Times New Roman" w:hAnsi="Times New Roman"/>
          <w:i/>
          <w:sz w:val="22"/>
        </w:rPr>
        <w:t>Mathematical Specification of Model Evaluation Criteria</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Criterion Name</w:t>
            </w:r>
          </w:p>
        </w:tc>
        <w:tc>
          <w:tcPr>
            <w:tcW w:type="dxa" w:w="3168"/>
            <w:tcBorders>
              <w:bottom w:val="single" w:sz="12" w:space="0" w:color="000000"/>
            </w:tcBorders>
            <w:shd w:fill="F4F6F8"/>
          </w:tcPr>
          <w:p>
            <w:pPr>
              <w:spacing w:before="60" w:after="60" w:line="240" w:lineRule="auto"/>
              <w:jc w:val="center"/>
            </w:pPr>
            <w:r>
              <w:rPr>
                <w:rFonts w:ascii="Times New Roman" w:hAnsi="Times New Roman"/>
                <w:b/>
                <w:sz w:val="19"/>
              </w:rPr>
              <w:t>Algebraic Expression</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Analytical Meaning</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Research Question Role</w:t>
            </w:r>
          </w:p>
        </w:tc>
      </w:tr>
      <w:tr>
        <w:tc>
          <w:tcPr>
            <w:tcW w:type="dxa" w:w="2160"/>
          </w:tcPr>
          <w:p>
            <w:pPr>
              <w:spacing w:before="40" w:after="40" w:line="252" w:lineRule="auto"/>
              <w:jc w:val="left"/>
            </w:pPr>
            <w:r>
              <w:rPr>
                <w:rFonts w:ascii="Times New Roman" w:hAnsi="Times New Roman"/>
                <w:sz w:val="18"/>
              </w:rPr>
              <w:t>ANOVA F-Ratio</w:t>
            </w:r>
          </w:p>
        </w:tc>
        <w:tc>
          <w:tcPr>
            <w:tcW w:type="dxa" w:w="3168"/>
          </w:tcPr>
          <w:p>
            <w:pPr>
              <w:spacing w:before="40" w:after="40" w:line="252" w:lineRule="auto"/>
              <w:jc w:val="left"/>
            </w:pPr>
            <w:r>
              <w:rPr>
                <w:rFonts w:ascii="Times New Roman" w:hAnsi="Times New Roman"/>
                <w:sz w:val="18"/>
              </w:rPr>
              <w:t>F = MS_between / MS_within</w:t>
            </w:r>
          </w:p>
        </w:tc>
        <w:tc>
          <w:tcPr>
            <w:tcW w:type="dxa" w:w="2592"/>
          </w:tcPr>
          <w:p>
            <w:pPr>
              <w:spacing w:before="40" w:after="40" w:line="252" w:lineRule="auto"/>
              <w:jc w:val="left"/>
            </w:pPr>
            <w:r>
              <w:rPr>
                <w:rFonts w:ascii="Times New Roman" w:hAnsi="Times New Roman"/>
                <w:sz w:val="18"/>
              </w:rPr>
              <w:t>Compares inter-group fuel variance against intra-group residual variance.</w:t>
            </w:r>
          </w:p>
        </w:tc>
        <w:tc>
          <w:tcPr>
            <w:tcW w:type="dxa" w:w="2160"/>
          </w:tcPr>
          <w:p>
            <w:pPr>
              <w:spacing w:before="40" w:after="40" w:line="252" w:lineRule="auto"/>
              <w:jc w:val="left"/>
            </w:pPr>
            <w:r>
              <w:rPr>
                <w:rFonts w:ascii="Times New Roman" w:hAnsi="Times New Roman"/>
                <w:sz w:val="18"/>
              </w:rPr>
              <w:t>RQ1 (Parametric Omnibus Test)</w:t>
            </w:r>
          </w:p>
        </w:tc>
      </w:tr>
      <w:tr>
        <w:tc>
          <w:tcPr>
            <w:tcW w:type="dxa" w:w="2160"/>
            <w:shd w:fill="FAFAFA"/>
          </w:tcPr>
          <w:p>
            <w:pPr>
              <w:spacing w:before="40" w:after="40" w:line="252" w:lineRule="auto"/>
              <w:jc w:val="left"/>
            </w:pPr>
            <w:r>
              <w:rPr>
                <w:rFonts w:ascii="Times New Roman" w:hAnsi="Times New Roman"/>
                <w:sz w:val="18"/>
              </w:rPr>
              <w:t>Eta-Squared (η²)</w:t>
            </w:r>
          </w:p>
        </w:tc>
        <w:tc>
          <w:tcPr>
            <w:tcW w:type="dxa" w:w="3168"/>
            <w:shd w:fill="FAFAFA"/>
          </w:tcPr>
          <w:p>
            <w:pPr>
              <w:spacing w:before="40" w:after="40" w:line="252" w:lineRule="auto"/>
              <w:jc w:val="left"/>
            </w:pPr>
            <w:r>
              <w:rPr>
                <w:rFonts w:ascii="Times New Roman" w:hAnsi="Times New Roman"/>
                <w:sz w:val="18"/>
              </w:rPr>
              <w:t>η² = SS_between / SS_total</w:t>
            </w:r>
          </w:p>
        </w:tc>
        <w:tc>
          <w:tcPr>
            <w:tcW w:type="dxa" w:w="2592"/>
            <w:shd w:fill="FAFAFA"/>
          </w:tcPr>
          <w:p>
            <w:pPr>
              <w:spacing w:before="40" w:after="40" w:line="252" w:lineRule="auto"/>
              <w:jc w:val="left"/>
            </w:pPr>
            <w:r>
              <w:rPr>
                <w:rFonts w:ascii="Times New Roman" w:hAnsi="Times New Roman"/>
                <w:sz w:val="18"/>
              </w:rPr>
              <w:t>Fraction of total thermal variance attributable to primary fuel class.</w:t>
            </w:r>
          </w:p>
        </w:tc>
        <w:tc>
          <w:tcPr>
            <w:tcW w:type="dxa" w:w="2160"/>
            <w:shd w:fill="FAFAFA"/>
          </w:tcPr>
          <w:p>
            <w:pPr>
              <w:spacing w:before="40" w:after="40" w:line="252" w:lineRule="auto"/>
              <w:jc w:val="left"/>
            </w:pPr>
            <w:r>
              <w:rPr>
                <w:rFonts w:ascii="Times New Roman" w:hAnsi="Times New Roman"/>
                <w:sz w:val="18"/>
              </w:rPr>
              <w:t>RQ1 (Omnibus Effect Size)</w:t>
            </w:r>
          </w:p>
        </w:tc>
      </w:tr>
      <w:tr>
        <w:tc>
          <w:tcPr>
            <w:tcW w:type="dxa" w:w="2160"/>
          </w:tcPr>
          <w:p>
            <w:pPr>
              <w:spacing w:before="40" w:after="40" w:line="252" w:lineRule="auto"/>
              <w:jc w:val="left"/>
            </w:pPr>
            <w:r>
              <w:rPr>
                <w:rFonts w:ascii="Times New Roman" w:hAnsi="Times New Roman"/>
                <w:sz w:val="18"/>
              </w:rPr>
              <w:t>Kruskal-Wallis H</w:t>
            </w:r>
          </w:p>
        </w:tc>
        <w:tc>
          <w:tcPr>
            <w:tcW w:type="dxa" w:w="3168"/>
          </w:tcPr>
          <w:p>
            <w:pPr>
              <w:spacing w:before="40" w:after="40" w:line="252" w:lineRule="auto"/>
              <w:jc w:val="left"/>
            </w:pPr>
            <w:r>
              <w:rPr>
                <w:rFonts w:ascii="Times New Roman" w:hAnsi="Times New Roman"/>
                <w:sz w:val="18"/>
              </w:rPr>
              <w:t>H = [12 / N(N+1)] Σ(R_j²/n_j) - 3(N+1)</w:t>
            </w:r>
          </w:p>
        </w:tc>
        <w:tc>
          <w:tcPr>
            <w:tcW w:type="dxa" w:w="2592"/>
          </w:tcPr>
          <w:p>
            <w:pPr>
              <w:spacing w:before="40" w:after="40" w:line="252" w:lineRule="auto"/>
              <w:jc w:val="left"/>
            </w:pPr>
            <w:r>
              <w:rPr>
                <w:rFonts w:ascii="Times New Roman" w:hAnsi="Times New Roman"/>
                <w:sz w:val="18"/>
              </w:rPr>
              <w:t>Rank-based non-parametric test of median/distributional equality.</w:t>
            </w:r>
          </w:p>
        </w:tc>
        <w:tc>
          <w:tcPr>
            <w:tcW w:type="dxa" w:w="2160"/>
          </w:tcPr>
          <w:p>
            <w:pPr>
              <w:spacing w:before="40" w:after="40" w:line="252" w:lineRule="auto"/>
              <w:jc w:val="left"/>
            </w:pPr>
            <w:r>
              <w:rPr>
                <w:rFonts w:ascii="Times New Roman" w:hAnsi="Times New Roman"/>
                <w:sz w:val="18"/>
              </w:rPr>
              <w:t>RQ1 (Skewness-Robust Test)</w:t>
            </w:r>
          </w:p>
        </w:tc>
      </w:tr>
      <w:tr>
        <w:tc>
          <w:tcPr>
            <w:tcW w:type="dxa" w:w="2160"/>
            <w:shd w:fill="FAFAFA"/>
          </w:tcPr>
          <w:p>
            <w:pPr>
              <w:spacing w:before="40" w:after="40" w:line="252" w:lineRule="auto"/>
              <w:jc w:val="left"/>
            </w:pPr>
            <w:r>
              <w:rPr>
                <w:rFonts w:ascii="Times New Roman" w:hAnsi="Times New Roman"/>
                <w:sz w:val="18"/>
              </w:rPr>
              <w:t>Holdout Accuracy</w:t>
            </w:r>
          </w:p>
        </w:tc>
        <w:tc>
          <w:tcPr>
            <w:tcW w:type="dxa" w:w="3168"/>
            <w:shd w:fill="FAFAFA"/>
          </w:tcPr>
          <w:p>
            <w:pPr>
              <w:spacing w:before="40" w:after="40" w:line="252" w:lineRule="auto"/>
              <w:jc w:val="left"/>
            </w:pPr>
            <w:r>
              <w:rPr>
                <w:rFonts w:ascii="Times New Roman" w:hAnsi="Times New Roman"/>
                <w:sz w:val="18"/>
              </w:rPr>
              <w:t>Acc = (TP + TN) / (TP + TN + FP + FN)</w:t>
            </w:r>
          </w:p>
        </w:tc>
        <w:tc>
          <w:tcPr>
            <w:tcW w:type="dxa" w:w="2592"/>
            <w:shd w:fill="FAFAFA"/>
          </w:tcPr>
          <w:p>
            <w:pPr>
              <w:spacing w:before="40" w:after="40" w:line="252" w:lineRule="auto"/>
              <w:jc w:val="left"/>
            </w:pPr>
            <w:r>
              <w:rPr>
                <w:rFonts w:ascii="Times New Roman" w:hAnsi="Times New Roman"/>
                <w:sz w:val="18"/>
              </w:rPr>
              <w:t>Share of holdout test units (N = 810) assigned to the correct emission class.</w:t>
            </w:r>
          </w:p>
        </w:tc>
        <w:tc>
          <w:tcPr>
            <w:tcW w:type="dxa" w:w="2160"/>
            <w:shd w:fill="FAFAFA"/>
          </w:tcPr>
          <w:p>
            <w:pPr>
              <w:spacing w:before="40" w:after="40" w:line="252" w:lineRule="auto"/>
              <w:jc w:val="left"/>
            </w:pPr>
            <w:r>
              <w:rPr>
                <w:rFonts w:ascii="Times New Roman" w:hAnsi="Times New Roman"/>
                <w:sz w:val="18"/>
              </w:rPr>
              <w:t>RQ2 (Global Classification Fit)</w:t>
            </w:r>
          </w:p>
        </w:tc>
      </w:tr>
      <w:tr>
        <w:tc>
          <w:tcPr>
            <w:tcW w:type="dxa" w:w="2160"/>
          </w:tcPr>
          <w:p>
            <w:pPr>
              <w:spacing w:before="40" w:after="40" w:line="252" w:lineRule="auto"/>
              <w:jc w:val="left"/>
            </w:pPr>
            <w:r>
              <w:rPr>
                <w:rFonts w:ascii="Times New Roman" w:hAnsi="Times New Roman"/>
                <w:sz w:val="18"/>
              </w:rPr>
              <w:t>Positive Predictive Precision</w:t>
            </w:r>
          </w:p>
        </w:tc>
        <w:tc>
          <w:tcPr>
            <w:tcW w:type="dxa" w:w="3168"/>
          </w:tcPr>
          <w:p>
            <w:pPr>
              <w:spacing w:before="40" w:after="40" w:line="252" w:lineRule="auto"/>
              <w:jc w:val="left"/>
            </w:pPr>
            <w:r>
              <w:rPr>
                <w:rFonts w:ascii="Times New Roman" w:hAnsi="Times New Roman"/>
                <w:sz w:val="18"/>
              </w:rPr>
              <w:t>Prec = TP / (TP + FP)</w:t>
            </w:r>
          </w:p>
        </w:tc>
        <w:tc>
          <w:tcPr>
            <w:tcW w:type="dxa" w:w="2592"/>
          </w:tcPr>
          <w:p>
            <w:pPr>
              <w:spacing w:before="40" w:after="40" w:line="252" w:lineRule="auto"/>
              <w:jc w:val="left"/>
            </w:pPr>
            <w:r>
              <w:rPr>
                <w:rFonts w:ascii="Times New Roman" w:hAnsi="Times New Roman"/>
                <w:sz w:val="18"/>
              </w:rPr>
              <w:t>Share of predicted high emitters that genuinely exceed 2,350 mmBtu/hr.</w:t>
            </w:r>
          </w:p>
        </w:tc>
        <w:tc>
          <w:tcPr>
            <w:tcW w:type="dxa" w:w="2160"/>
          </w:tcPr>
          <w:p>
            <w:pPr>
              <w:spacing w:before="40" w:after="40" w:line="252" w:lineRule="auto"/>
              <w:jc w:val="left"/>
            </w:pPr>
            <w:r>
              <w:rPr>
                <w:rFonts w:ascii="Times New Roman" w:hAnsi="Times New Roman"/>
                <w:sz w:val="18"/>
              </w:rPr>
              <w:t>RQ2 (Inspection Cost Control)</w:t>
            </w:r>
          </w:p>
        </w:tc>
      </w:tr>
      <w:tr>
        <w:tc>
          <w:tcPr>
            <w:tcW w:type="dxa" w:w="2160"/>
            <w:shd w:fill="FAFAFA"/>
          </w:tcPr>
          <w:p>
            <w:pPr>
              <w:spacing w:before="40" w:after="40" w:line="252" w:lineRule="auto"/>
              <w:jc w:val="left"/>
            </w:pPr>
            <w:r>
              <w:rPr>
                <w:rFonts w:ascii="Times New Roman" w:hAnsi="Times New Roman"/>
                <w:sz w:val="18"/>
              </w:rPr>
              <w:t>Sensitivity (Recall)</w:t>
            </w:r>
          </w:p>
        </w:tc>
        <w:tc>
          <w:tcPr>
            <w:tcW w:type="dxa" w:w="3168"/>
            <w:shd w:fill="FAFAFA"/>
          </w:tcPr>
          <w:p>
            <w:pPr>
              <w:spacing w:before="40" w:after="40" w:line="252" w:lineRule="auto"/>
              <w:jc w:val="left"/>
            </w:pPr>
            <w:r>
              <w:rPr>
                <w:rFonts w:ascii="Times New Roman" w:hAnsi="Times New Roman"/>
                <w:sz w:val="18"/>
              </w:rPr>
              <w:t>Rec = TP / (TP + FN)</w:t>
            </w:r>
          </w:p>
        </w:tc>
        <w:tc>
          <w:tcPr>
            <w:tcW w:type="dxa" w:w="2592"/>
            <w:shd w:fill="FAFAFA"/>
          </w:tcPr>
          <w:p>
            <w:pPr>
              <w:spacing w:before="40" w:after="40" w:line="252" w:lineRule="auto"/>
              <w:jc w:val="left"/>
            </w:pPr>
            <w:r>
              <w:rPr>
                <w:rFonts w:ascii="Times New Roman" w:hAnsi="Times New Roman"/>
                <w:sz w:val="18"/>
              </w:rPr>
              <w:t>Share of actual top-quartile emitters successfully captured by the classifier.</w:t>
            </w:r>
          </w:p>
        </w:tc>
        <w:tc>
          <w:tcPr>
            <w:tcW w:type="dxa" w:w="2160"/>
            <w:shd w:fill="FAFAFA"/>
          </w:tcPr>
          <w:p>
            <w:pPr>
              <w:spacing w:before="40" w:after="40" w:line="252" w:lineRule="auto"/>
              <w:jc w:val="left"/>
            </w:pPr>
            <w:r>
              <w:rPr>
                <w:rFonts w:ascii="Times New Roman" w:hAnsi="Times New Roman"/>
                <w:sz w:val="18"/>
              </w:rPr>
              <w:t>RQ2 (Enforcement Risk Coverage)</w:t>
            </w:r>
          </w:p>
        </w:tc>
      </w:tr>
      <w:tr>
        <w:tc>
          <w:tcPr>
            <w:tcW w:type="dxa" w:w="2160"/>
          </w:tcPr>
          <w:p>
            <w:pPr>
              <w:spacing w:before="40" w:after="40" w:line="252" w:lineRule="auto"/>
              <w:jc w:val="left"/>
            </w:pPr>
            <w:r>
              <w:rPr>
                <w:rFonts w:ascii="Times New Roman" w:hAnsi="Times New Roman"/>
                <w:sz w:val="18"/>
              </w:rPr>
              <w:t>F1-Score</w:t>
            </w:r>
          </w:p>
        </w:tc>
        <w:tc>
          <w:tcPr>
            <w:tcW w:type="dxa" w:w="3168"/>
          </w:tcPr>
          <w:p>
            <w:pPr>
              <w:spacing w:before="40" w:after="40" w:line="252" w:lineRule="auto"/>
              <w:jc w:val="left"/>
            </w:pPr>
            <w:r>
              <w:rPr>
                <w:rFonts w:ascii="Times New Roman" w:hAnsi="Times New Roman"/>
                <w:sz w:val="18"/>
              </w:rPr>
              <w:t>F1 = 2·Prec·Rec / (Prec + Rec)</w:t>
            </w:r>
          </w:p>
        </w:tc>
        <w:tc>
          <w:tcPr>
            <w:tcW w:type="dxa" w:w="2592"/>
          </w:tcPr>
          <w:p>
            <w:pPr>
              <w:spacing w:before="40" w:after="40" w:line="252" w:lineRule="auto"/>
              <w:jc w:val="left"/>
            </w:pPr>
            <w:r>
              <w:rPr>
                <w:rFonts w:ascii="Times New Roman" w:hAnsi="Times New Roman"/>
                <w:sz w:val="18"/>
              </w:rPr>
              <w:t>Harmonic mean balancing false positives and false negatives under 25% prevalence.</w:t>
            </w:r>
          </w:p>
        </w:tc>
        <w:tc>
          <w:tcPr>
            <w:tcW w:type="dxa" w:w="2160"/>
          </w:tcPr>
          <w:p>
            <w:pPr>
              <w:spacing w:before="40" w:after="40" w:line="252" w:lineRule="auto"/>
              <w:jc w:val="left"/>
            </w:pPr>
            <w:r>
              <w:rPr>
                <w:rFonts w:ascii="Times New Roman" w:hAnsi="Times New Roman"/>
                <w:sz w:val="18"/>
              </w:rPr>
              <w:t>RQ2 (5-Fold CV &amp; Test Benchmark)</w:t>
            </w:r>
          </w:p>
        </w:tc>
      </w:tr>
      <w:tr>
        <w:tc>
          <w:tcPr>
            <w:tcW w:type="dxa" w:w="2160"/>
            <w:shd w:fill="FAFAFA"/>
          </w:tcPr>
          <w:p>
            <w:pPr>
              <w:spacing w:before="40" w:after="40" w:line="252" w:lineRule="auto"/>
              <w:jc w:val="left"/>
            </w:pPr>
            <w:r>
              <w:rPr>
                <w:rFonts w:ascii="Times New Roman" w:hAnsi="Times New Roman"/>
                <w:sz w:val="18"/>
              </w:rPr>
              <w:t>ROC-AUC</w:t>
            </w:r>
          </w:p>
        </w:tc>
        <w:tc>
          <w:tcPr>
            <w:tcW w:type="dxa" w:w="3168"/>
            <w:shd w:fill="FAFAFA"/>
          </w:tcPr>
          <w:p>
            <w:pPr>
              <w:spacing w:before="40" w:after="40" w:line="252" w:lineRule="auto"/>
              <w:jc w:val="left"/>
            </w:pPr>
            <w:r>
              <w:rPr>
                <w:rFonts w:ascii="Times New Roman" w:hAnsi="Times New Roman"/>
                <w:sz w:val="18"/>
              </w:rPr>
              <w:t>Area under TPR vs FPR curve across thresholds</w:t>
            </w:r>
          </w:p>
        </w:tc>
        <w:tc>
          <w:tcPr>
            <w:tcW w:type="dxa" w:w="2592"/>
            <w:shd w:fill="FAFAFA"/>
          </w:tcPr>
          <w:p>
            <w:pPr>
              <w:spacing w:before="40" w:after="40" w:line="252" w:lineRule="auto"/>
              <w:jc w:val="left"/>
            </w:pPr>
            <w:r>
              <w:rPr>
                <w:rFonts w:ascii="Times New Roman" w:hAnsi="Times New Roman"/>
                <w:sz w:val="18"/>
              </w:rPr>
              <w:t>Threshold-free probability of ranking a random high emitter above a low emitter.</w:t>
            </w:r>
          </w:p>
        </w:tc>
        <w:tc>
          <w:tcPr>
            <w:tcW w:type="dxa" w:w="2160"/>
            <w:shd w:fill="FAFAFA"/>
          </w:tcPr>
          <w:p>
            <w:pPr>
              <w:spacing w:before="40" w:after="40" w:line="252" w:lineRule="auto"/>
              <w:jc w:val="left"/>
            </w:pPr>
            <w:r>
              <w:rPr>
                <w:rFonts w:ascii="Times New Roman" w:hAnsi="Times New Roman"/>
                <w:sz w:val="18"/>
              </w:rPr>
              <w:t>RQ2 (Discriminative Power)</w:t>
            </w:r>
          </w:p>
        </w:tc>
      </w:tr>
      <w:tr>
        <w:tc>
          <w:tcPr>
            <w:tcW w:type="dxa" w:w="2160"/>
          </w:tcPr>
          <w:p>
            <w:pPr>
              <w:spacing w:before="40" w:after="40" w:line="252" w:lineRule="auto"/>
              <w:jc w:val="left"/>
            </w:pPr>
            <w:r>
              <w:rPr>
                <w:rFonts w:ascii="Times New Roman" w:hAnsi="Times New Roman"/>
                <w:sz w:val="18"/>
              </w:rPr>
              <w:t>Pearson r &amp; Spearman ρ</w:t>
            </w:r>
          </w:p>
        </w:tc>
        <w:tc>
          <w:tcPr>
            <w:tcW w:type="dxa" w:w="3168"/>
          </w:tcPr>
          <w:p>
            <w:pPr>
              <w:spacing w:before="40" w:after="40" w:line="252" w:lineRule="auto"/>
              <w:jc w:val="left"/>
            </w:pPr>
            <w:r>
              <w:rPr>
                <w:rFonts w:ascii="Times New Roman" w:hAnsi="Times New Roman"/>
                <w:sz w:val="18"/>
              </w:rPr>
              <w:t>Linear covariance ratio &amp; rank-order correlation</w:t>
            </w:r>
          </w:p>
        </w:tc>
        <w:tc>
          <w:tcPr>
            <w:tcW w:type="dxa" w:w="2592"/>
          </w:tcPr>
          <w:p>
            <w:pPr>
              <w:spacing w:before="40" w:after="40" w:line="252" w:lineRule="auto"/>
              <w:jc w:val="left"/>
            </w:pPr>
            <w:r>
              <w:rPr>
                <w:rFonts w:ascii="Times New Roman" w:hAnsi="Times New Roman"/>
                <w:sz w:val="18"/>
              </w:rPr>
              <w:t>Measures parametric linear and non-parametric monotonic association.</w:t>
            </w:r>
          </w:p>
        </w:tc>
        <w:tc>
          <w:tcPr>
            <w:tcW w:type="dxa" w:w="2160"/>
          </w:tcPr>
          <w:p>
            <w:pPr>
              <w:spacing w:before="40" w:after="40" w:line="252" w:lineRule="auto"/>
              <w:jc w:val="left"/>
            </w:pPr>
            <w:r>
              <w:rPr>
                <w:rFonts w:ascii="Times New Roman" w:hAnsi="Times New Roman"/>
                <w:sz w:val="18"/>
              </w:rPr>
              <w:t>RQ3 (Vintage vs Heat Input)</w:t>
            </w:r>
          </w:p>
        </w:tc>
      </w:tr>
      <w:tr>
        <w:tc>
          <w:tcPr>
            <w:tcW w:type="dxa" w:w="2160"/>
            <w:shd w:fill="FAFAFA"/>
          </w:tcPr>
          <w:p>
            <w:pPr>
              <w:spacing w:before="40" w:after="40" w:line="252" w:lineRule="auto"/>
              <w:jc w:val="left"/>
            </w:pPr>
            <w:r>
              <w:rPr>
                <w:rFonts w:ascii="Times New Roman" w:hAnsi="Times New Roman"/>
                <w:sz w:val="18"/>
              </w:rPr>
              <w:t>OLS R² &amp; Adjusted R²</w:t>
            </w:r>
          </w:p>
        </w:tc>
        <w:tc>
          <w:tcPr>
            <w:tcW w:type="dxa" w:w="3168"/>
            <w:shd w:fill="FAFAFA"/>
          </w:tcPr>
          <w:p>
            <w:pPr>
              <w:spacing w:before="40" w:after="40" w:line="252" w:lineRule="auto"/>
              <w:jc w:val="left"/>
            </w:pPr>
            <w:r>
              <w:rPr>
                <w:rFonts w:ascii="Times New Roman" w:hAnsi="Times New Roman"/>
                <w:sz w:val="18"/>
              </w:rPr>
              <w:t>1 - (SS_res / SS_tot) with df penalty</w:t>
            </w:r>
          </w:p>
        </w:tc>
        <w:tc>
          <w:tcPr>
            <w:tcW w:type="dxa" w:w="2592"/>
            <w:shd w:fill="FAFAFA"/>
          </w:tcPr>
          <w:p>
            <w:pPr>
              <w:spacing w:before="40" w:after="40" w:line="252" w:lineRule="auto"/>
              <w:jc w:val="left"/>
            </w:pPr>
            <w:r>
              <w:rPr>
                <w:rFonts w:ascii="Times New Roman" w:hAnsi="Times New Roman"/>
                <w:sz w:val="18"/>
              </w:rPr>
              <w:t>Percentage of thermal variance explained by linear regression predictors.</w:t>
            </w:r>
          </w:p>
        </w:tc>
        <w:tc>
          <w:tcPr>
            <w:tcW w:type="dxa" w:w="2160"/>
            <w:shd w:fill="FAFAFA"/>
          </w:tcPr>
          <w:p>
            <w:pPr>
              <w:spacing w:before="40" w:after="40" w:line="252" w:lineRule="auto"/>
              <w:jc w:val="left"/>
            </w:pPr>
            <w:r>
              <w:rPr>
                <w:rFonts w:ascii="Times New Roman" w:hAnsi="Times New Roman"/>
                <w:sz w:val="18"/>
              </w:rPr>
              <w:t>RQ3 (Econometric Explanatory Fit)</w:t>
            </w:r>
          </w:p>
        </w:tc>
      </w:tr>
      <w:tr>
        <w:tc>
          <w:tcPr>
            <w:tcW w:type="dxa" w:w="2160"/>
          </w:tcPr>
          <w:p>
            <w:pPr>
              <w:spacing w:before="40" w:after="40" w:line="252" w:lineRule="auto"/>
              <w:jc w:val="left"/>
            </w:pPr>
            <w:r>
              <w:rPr>
                <w:rFonts w:ascii="Times New Roman" w:hAnsi="Times New Roman"/>
                <w:sz w:val="18"/>
              </w:rPr>
              <w:t>RMSE &amp; MAE</w:t>
            </w:r>
          </w:p>
        </w:tc>
        <w:tc>
          <w:tcPr>
            <w:tcW w:type="dxa" w:w="3168"/>
          </w:tcPr>
          <w:p>
            <w:pPr>
              <w:spacing w:before="40" w:after="40" w:line="252" w:lineRule="auto"/>
              <w:jc w:val="left"/>
            </w:pPr>
            <w:r>
              <w:rPr>
                <w:rFonts w:ascii="Times New Roman" w:hAnsi="Times New Roman"/>
                <w:sz w:val="18"/>
              </w:rPr>
              <w:t>Root mean squared &amp; mean absolute residual error</w:t>
            </w:r>
          </w:p>
        </w:tc>
        <w:tc>
          <w:tcPr>
            <w:tcW w:type="dxa" w:w="2592"/>
          </w:tcPr>
          <w:p>
            <w:pPr>
              <w:spacing w:before="40" w:after="40" w:line="252" w:lineRule="auto"/>
              <w:jc w:val="left"/>
            </w:pPr>
            <w:r>
              <w:rPr>
                <w:rFonts w:ascii="Times New Roman" w:hAnsi="Times New Roman"/>
                <w:sz w:val="18"/>
              </w:rPr>
              <w:t>Quantifies prediction error dispersion in physical units (mmBtu/hr).</w:t>
            </w:r>
          </w:p>
        </w:tc>
        <w:tc>
          <w:tcPr>
            <w:tcW w:type="dxa" w:w="2160"/>
          </w:tcPr>
          <w:p>
            <w:pPr>
              <w:spacing w:before="40" w:after="40" w:line="252" w:lineRule="auto"/>
              <w:jc w:val="left"/>
            </w:pPr>
            <w:r>
              <w:rPr>
                <w:rFonts w:ascii="Times New Roman" w:hAnsi="Times New Roman"/>
                <w:sz w:val="18"/>
              </w:rPr>
              <w:t>RQ3 (Residual Error Magnitude)</w:t>
            </w:r>
          </w:p>
        </w:tc>
      </w:tr>
      <w:tr>
        <w:tc>
          <w:tcPr>
            <w:tcW w:type="dxa" w:w="2160"/>
            <w:shd w:fill="FAFAFA"/>
          </w:tcPr>
          <w:p>
            <w:pPr>
              <w:spacing w:before="40" w:after="40" w:line="252" w:lineRule="auto"/>
              <w:jc w:val="left"/>
            </w:pPr>
            <w:r>
              <w:rPr>
                <w:rFonts w:ascii="Times New Roman" w:hAnsi="Times New Roman"/>
                <w:sz w:val="18"/>
              </w:rPr>
              <w:t>WCSS &amp; Silhouette (s)</w:t>
            </w:r>
          </w:p>
        </w:tc>
        <w:tc>
          <w:tcPr>
            <w:tcW w:type="dxa" w:w="3168"/>
            <w:shd w:fill="FAFAFA"/>
          </w:tcPr>
          <w:p>
            <w:pPr>
              <w:spacing w:before="40" w:after="40" w:line="252" w:lineRule="auto"/>
              <w:jc w:val="left"/>
            </w:pPr>
            <w:r>
              <w:rPr>
                <w:rFonts w:ascii="Times New Roman" w:hAnsi="Times New Roman"/>
                <w:sz w:val="18"/>
              </w:rPr>
              <w:t>Sum of squared centroid distances &amp; (b - a)/max(a,b)</w:t>
            </w:r>
          </w:p>
        </w:tc>
        <w:tc>
          <w:tcPr>
            <w:tcW w:type="dxa" w:w="2592"/>
            <w:shd w:fill="FAFAFA"/>
          </w:tcPr>
          <w:p>
            <w:pPr>
              <w:spacing w:before="40" w:after="40" w:line="252" w:lineRule="auto"/>
              <w:jc w:val="left"/>
            </w:pPr>
            <w:r>
              <w:rPr>
                <w:rFonts w:ascii="Times New Roman" w:hAnsi="Times New Roman"/>
                <w:sz w:val="18"/>
              </w:rPr>
              <w:t>Evaluates within-cluster tightness (WCSS) and inter-cluster separation (s).</w:t>
            </w:r>
          </w:p>
        </w:tc>
        <w:tc>
          <w:tcPr>
            <w:tcW w:type="dxa" w:w="2160"/>
            <w:shd w:fill="FAFAFA"/>
          </w:tcPr>
          <w:p>
            <w:pPr>
              <w:spacing w:before="40" w:after="40" w:line="252" w:lineRule="auto"/>
              <w:jc w:val="left"/>
            </w:pPr>
            <w:r>
              <w:rPr>
                <w:rFonts w:ascii="Times New Roman" w:hAnsi="Times New Roman"/>
                <w:sz w:val="18"/>
              </w:rPr>
              <w:t>RQ4 (Archetype Validation)</w:t>
            </w:r>
          </w:p>
        </w:tc>
      </w:tr>
    </w:tbl>
    <w:p>
      <w:pPr>
        <w:spacing w:before="60" w:after="240"/>
      </w:pPr>
      <w:r>
        <w:rPr>
          <w:rFonts w:ascii="Times New Roman" w:hAnsi="Times New Roman"/>
          <w:i/>
          <w:sz w:val="18"/>
        </w:rPr>
        <w:t xml:space="preserve">Note. </w:t>
      </w:r>
      <w:r>
        <w:rPr>
          <w:rFonts w:ascii="Times New Roman" w:hAnsi="Times New Roman"/>
          <w:sz w:val="18"/>
        </w:rPr>
        <w:t>Mathematical definitions and operational meanings of statistical, econometric, classification, and clustering metrics.</w:t>
      </w:r>
    </w:p>
    <w:p>
      <w:pPr>
        <w:keepNext/>
        <w:spacing w:before="320" w:after="160"/>
        <w:jc w:val="center"/>
      </w:pPr>
      <w:r>
        <w:rPr>
          <w:rFonts w:ascii="Times New Roman" w:hAnsi="Times New Roman"/>
          <w:b/>
          <w:color w:val="0F2240"/>
          <w:sz w:val="28"/>
        </w:rPr>
        <w:t>4. Architecture Diagram and System Workflow</w:t>
      </w:r>
    </w:p>
    <w:p>
      <w:pPr>
        <w:keepNext/>
        <w:spacing w:before="240" w:after="120"/>
        <w:jc w:val="left"/>
      </w:pPr>
      <w:r>
        <w:rPr>
          <w:rFonts w:ascii="Times New Roman" w:hAnsi="Times New Roman"/>
          <w:b/>
          <w:color w:val="19375F"/>
          <w:sz w:val="24"/>
        </w:rPr>
        <w:t>System Overview</w:t>
      </w:r>
    </w:p>
    <w:p>
      <w:pPr>
        <w:spacing w:after="120" w:line="276" w:lineRule="auto"/>
        <w:jc w:val="left"/>
      </w:pPr>
      <w:r>
        <w:rPr>
          <w:rFonts w:ascii="Times New Roman" w:hAnsi="Times New Roman"/>
          <w:i w:val="0"/>
          <w:sz w:val="22"/>
        </w:rPr>
        <w:t>To operationalize the research methodologies across RQ1–RQ4 with full scientific reproducibility, a modular seven-stage analytical system architecture was engineered. The pipeline ingests raw federal regulatory CSV filings from the EPA Clean Air Markets Program, executes automated quality assurance and regex feature extraction, performs exploratory statistical profiling, constructs standardized numerical and categorical feature matrices, trains and cross-validates the four-tier modeling suite (inferential, supervised ML, econometric OLS, and unsupervised clustering), evaluates out-of-sample diagnostic metrics, and exports structured JSON artifacts, 300 DPI visual diagnostics, and regulatory decision-support risk profiles. The overarching purpose of this architecture is to eliminate manual data handling errors and provide a scalable, end-to-end decision support system for environmental compliance auditing.</w:t>
      </w:r>
    </w:p>
    <w:p>
      <w:pPr>
        <w:keepNext/>
        <w:spacing w:before="240" w:after="120"/>
        <w:jc w:val="left"/>
      </w:pPr>
      <w:r>
        <w:rPr>
          <w:rFonts w:ascii="Times New Roman" w:hAnsi="Times New Roman"/>
          <w:b/>
          <w:color w:val="19375F"/>
          <w:sz w:val="24"/>
        </w:rPr>
        <w:t>Architecture Diagram</w:t>
      </w:r>
    </w:p>
    <w:p>
      <w:pPr>
        <w:spacing w:after="120" w:line="276" w:lineRule="auto"/>
        <w:jc w:val="left"/>
      </w:pPr>
      <w:r>
        <w:rPr>
          <w:rFonts w:ascii="Times New Roman" w:hAnsi="Times New Roman"/>
          <w:i w:val="0"/>
          <w:sz w:val="22"/>
        </w:rPr>
        <w:t>As shown in Figure 5, the end-to-end system workflow progresses sequentially across seven color-coded functional stages: (1) Data Source and Ingestion, (2) Data Preprocessing, (3) Exploratory Data Analysis (EDA), (4) Feature Engineering, (5) Multi-Tier Analytical Modeling Framework, (6) Evaluation and Diagnostics, and (7) Deployment and User Impact.</w:t>
      </w:r>
    </w:p>
    <w:p>
      <w:pPr>
        <w:keepNext/>
        <w:spacing w:before="240" w:after="40"/>
      </w:pPr>
      <w:r>
        <w:rPr>
          <w:rFonts w:ascii="Times New Roman" w:hAnsi="Times New Roman"/>
          <w:b/>
          <w:sz w:val="22"/>
        </w:rPr>
        <w:t>Figure 5</w:t>
      </w:r>
    </w:p>
    <w:p>
      <w:pPr>
        <w:keepNext/>
        <w:spacing w:before="0" w:after="120"/>
      </w:pPr>
      <w:r>
        <w:rPr>
          <w:rFonts w:ascii="Times New Roman" w:hAnsi="Times New Roman"/>
          <w:i/>
          <w:sz w:val="22"/>
        </w:rPr>
        <w:t>End-to-End Workflow of the Proposed System</w:t>
      </w:r>
    </w:p>
    <w:p>
      <w:pPr>
        <w:keepNext/>
        <w:spacing w:after="80"/>
        <w:jc w:val="center"/>
      </w:pPr>
      <w:r>
        <w:drawing>
          <wp:inline xmlns:a="http://schemas.openxmlformats.org/drawingml/2006/main" xmlns:pic="http://schemas.openxmlformats.org/drawingml/2006/picture">
            <wp:extent cx="5852160" cy="3145713"/>
            <wp:docPr id="5" name="Picture 5"/>
            <wp:cNvGraphicFramePr>
              <a:graphicFrameLocks noChangeAspect="1"/>
            </wp:cNvGraphicFramePr>
            <a:graphic>
              <a:graphicData uri="http://schemas.openxmlformats.org/drawingml/2006/picture">
                <pic:pic>
                  <pic:nvPicPr>
                    <pic:cNvPr id="0" name="figure0_system_architecture.png"/>
                    <pic:cNvPicPr/>
                  </pic:nvPicPr>
                  <pic:blipFill>
                    <a:blip r:embed="rId15"/>
                    <a:stretch>
                      <a:fillRect/>
                    </a:stretch>
                  </pic:blipFill>
                  <pic:spPr>
                    <a:xfrm>
                      <a:off x="0" y="0"/>
                      <a:ext cx="5852160" cy="3145713"/>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System architecture diagram illustrating the seven-stage analytical pipeline from EPA CAMPD bulk data ingestion (N = 4,050 units) through preprocessing, EDA, feature engineering, multi-tier statistical/ML modeling (RQ1–RQ4), diagnostic validation, and regulatory decision-support deployment.</w:t>
      </w:r>
    </w:p>
    <w:p>
      <w:pPr>
        <w:keepNext/>
        <w:spacing w:before="240" w:after="120"/>
        <w:jc w:val="left"/>
      </w:pPr>
      <w:r>
        <w:rPr>
          <w:rFonts w:ascii="Times New Roman" w:hAnsi="Times New Roman"/>
          <w:b/>
          <w:color w:val="19375F"/>
          <w:sz w:val="24"/>
        </w:rPr>
        <w:t>Workflow Components</w:t>
      </w:r>
    </w:p>
    <w:p>
      <w:pPr>
        <w:spacing w:after="100" w:line="276" w:lineRule="auto"/>
        <w:jc w:val="left"/>
      </w:pPr>
      <w:r>
        <w:rPr>
          <w:rFonts w:ascii="Times New Roman" w:hAnsi="Times New Roman"/>
          <w:b/>
          <w:sz w:val="22"/>
        </w:rPr>
        <w:t xml:space="preserve">1. Data Ingestion: </w:t>
      </w:r>
      <w:r>
        <w:rPr>
          <w:rFonts w:ascii="Times New Roman" w:hAnsi="Times New Roman"/>
          <w:i w:val="0"/>
          <w:sz w:val="22"/>
        </w:rPr>
        <w:t>The pipeline ingests the official U.S. EPA CAMPD bulk flat file (data/raw/facility-2025.csv) using Pandas low-memory C-engine parsing. The ingestion layer validates the schema of 30 raw regulatory attributes across N = 4,050 stationary generating units and 1,328 unique ORISPL facility identifiers, logging initial row/column counts and verifying zero file corruption.</w:t>
      </w:r>
    </w:p>
    <w:p>
      <w:pPr>
        <w:spacing w:after="100" w:line="276" w:lineRule="auto"/>
        <w:jc w:val="left"/>
      </w:pPr>
      <w:r>
        <w:rPr>
          <w:rFonts w:ascii="Times New Roman" w:hAnsi="Times New Roman"/>
          <w:b/>
          <w:sz w:val="22"/>
        </w:rPr>
        <w:t xml:space="preserve">2. Data Preprocessing: </w:t>
      </w:r>
      <w:r>
        <w:rPr>
          <w:rFonts w:ascii="Times New Roman" w:hAnsi="Times New Roman"/>
          <w:i w:val="0"/>
          <w:sz w:val="22"/>
        </w:rPr>
        <w:t>The preprocessing engine executes composite key deduplication (confirming 0 duplicates), applies regular expression extraction to parse numerical megawatt ratings from multi-generator text strings, converts commercial operation dates into continuous unit vintage (Unit_Age), encodes blank abatement fields as uncontrolled (0) vs controlled (1), consolidates high-cardinality fuel (12 → 5) and boiler (33 → 5) taxonomies, and applies unit-technology median imputation to achieve 100% record retention.</w:t>
      </w:r>
    </w:p>
    <w:p>
      <w:pPr>
        <w:spacing w:after="100" w:line="276" w:lineRule="auto"/>
        <w:jc w:val="left"/>
      </w:pPr>
      <w:r>
        <w:rPr>
          <w:rFonts w:ascii="Times New Roman" w:hAnsi="Times New Roman"/>
          <w:b/>
          <w:sz w:val="22"/>
        </w:rPr>
        <w:t xml:space="preserve">3. Exploratory Data Analysis (EDA): </w:t>
      </w:r>
      <w:r>
        <w:rPr>
          <w:rFonts w:ascii="Times New Roman" w:hAnsi="Times New Roman"/>
          <w:i w:val="0"/>
          <w:sz w:val="22"/>
        </w:rPr>
        <w:t>The EDA module computes parametric (mean, SD) and non-parametric (median, IQR) summary statistics, evaluates distributional skewness, and renders high-resolution diagnostic visualizations (Figures 1–4) examining fuel-level thermal boxplots, technology prevalence vs scale, multi-pollutant scrubber adoption rates, and pairwise Pearson correlation matrices.</w:t>
      </w:r>
    </w:p>
    <w:p>
      <w:pPr>
        <w:spacing w:after="100" w:line="276" w:lineRule="auto"/>
        <w:jc w:val="left"/>
      </w:pPr>
      <w:r>
        <w:rPr>
          <w:rFonts w:ascii="Times New Roman" w:hAnsi="Times New Roman"/>
          <w:b/>
          <w:sz w:val="22"/>
        </w:rPr>
        <w:t xml:space="preserve">4. Feature Engineering: </w:t>
      </w:r>
      <w:r>
        <w:rPr>
          <w:rFonts w:ascii="Times New Roman" w:hAnsi="Times New Roman"/>
          <w:i w:val="0"/>
          <w:sz w:val="22"/>
        </w:rPr>
        <w:t>The feature engineering layer constructs 15 analytical predictors, including cumulative pollution control counts (Control_Count ∈ {0..4}), thermal intensity ratios (Heat_Input_Intensity), logarithmic scale transformations (Log_Capacity and Log_Heat_Input), one-hot dummy encodings with reference category dropping, Z-score standardization (StandardScaler fitted strictly on training data), and the binary 75th-percentile classification target (High_Emitter &gt;= 2,350.0 mmBtu/hr).</w:t>
      </w:r>
    </w:p>
    <w:p>
      <w:pPr>
        <w:spacing w:after="100" w:line="276" w:lineRule="auto"/>
        <w:jc w:val="left"/>
      </w:pPr>
      <w:r>
        <w:rPr>
          <w:rFonts w:ascii="Times New Roman" w:hAnsi="Times New Roman"/>
          <w:b/>
          <w:sz w:val="22"/>
        </w:rPr>
        <w:t xml:space="preserve">5. Model Development: </w:t>
      </w:r>
      <w:r>
        <w:rPr>
          <w:rFonts w:ascii="Times New Roman" w:hAnsi="Times New Roman"/>
          <w:i w:val="0"/>
          <w:sz w:val="22"/>
        </w:rPr>
        <w:t>The modeling core executes four specialized analytical engines: (a) SciPy/Statsmodels One-Way ANOVA, Kruskal-Wallis, and Tukey HSD for RQ1; (b) Scikit-Learn Logistic Regression, Random Forest, and Gradient Boosting trained on the stratified 80% training split (N = 3,240) with 5-fold cross-validation for RQ2; (c) Statsmodels bivariate and multivariate OLS regressions (df = 4,046) for RQ3; and (d) K-Means clustering (k = 2..7) with 2D Principal Component Analysis (PCA) for RQ4.</w:t>
      </w:r>
    </w:p>
    <w:p>
      <w:pPr>
        <w:spacing w:after="100" w:line="276" w:lineRule="auto"/>
        <w:jc w:val="left"/>
      </w:pPr>
      <w:r>
        <w:rPr>
          <w:rFonts w:ascii="Times New Roman" w:hAnsi="Times New Roman"/>
          <w:b/>
          <w:sz w:val="22"/>
        </w:rPr>
        <w:t xml:space="preserve">6. Model Evaluation: </w:t>
      </w:r>
      <w:r>
        <w:rPr>
          <w:rFonts w:ascii="Times New Roman" w:hAnsi="Times New Roman"/>
          <w:i w:val="0"/>
          <w:sz w:val="22"/>
        </w:rPr>
        <w:t>The evaluation layer computes out-of-sample confusion matrices, Accuracy, Precision, Recall, F1-Score, and ROC-AUC on the 20% holdout test set (N = 810), alongside regression R², Adjusted R², RMSE, MAE, ANOVA η², and clustering WCSS/Silhouette scores, serializing all metrics into outputs/analytics_results.json.</w:t>
      </w:r>
    </w:p>
    <w:p>
      <w:pPr>
        <w:spacing w:after="200" w:line="276" w:lineRule="auto"/>
        <w:jc w:val="left"/>
      </w:pPr>
      <w:r>
        <w:rPr>
          <w:rFonts w:ascii="Times New Roman" w:hAnsi="Times New Roman"/>
          <w:b/>
          <w:sz w:val="22"/>
        </w:rPr>
        <w:t xml:space="preserve">7. Deployment: </w:t>
      </w:r>
      <w:r>
        <w:rPr>
          <w:rFonts w:ascii="Times New Roman" w:hAnsi="Times New Roman"/>
          <w:i w:val="0"/>
          <w:sz w:val="22"/>
        </w:rPr>
        <w:t>The processed dataset with assigned cluster archetypes and PCA coordinates is exported to data/processed/facility_clean_processed.csv, feeding an interactive regulatory compliance risk scoring dashboard and REST API microservice for EPA regional audit prioritization.</w:t>
      </w:r>
    </w:p>
    <w:p>
      <w:pPr>
        <w:keepNext/>
        <w:spacing w:before="240" w:after="120"/>
        <w:jc w:val="left"/>
      </w:pPr>
      <w:r>
        <w:rPr>
          <w:rFonts w:ascii="Times New Roman" w:hAnsi="Times New Roman"/>
          <w:b/>
          <w:color w:val="19375F"/>
          <w:sz w:val="24"/>
        </w:rPr>
        <w:t>Tools and Technologies</w:t>
      </w:r>
    </w:p>
    <w:p>
      <w:pPr>
        <w:spacing w:after="120" w:line="276" w:lineRule="auto"/>
        <w:jc w:val="left"/>
      </w:pPr>
      <w:r>
        <w:rPr>
          <w:rFonts w:ascii="Times New Roman" w:hAnsi="Times New Roman"/>
          <w:i w:val="0"/>
          <w:sz w:val="22"/>
        </w:rPr>
        <w:t>The complete analytical and reporting pipeline was built using an open-source, industry-standard Python 3.11 data science stack: (1) Pandas (v2.2) and NumPy (v1.26) for vectorized relational data manipulation, regex string parsing, and linear algebra; (2) SciPy (scipy.stats) and Statsmodels (statsmodels.api, multicomp) for parametric One-Way ANOVA, Kruskal-Wallis rank testing, Tukey HSD post-hoc contrasts, and Ordinary Least Squares econometric estimation; (3) Scikit-Learn (v1.4) for stratified train/test splitting, k-fold cross-validation, StandardScaler preprocessing, Logistic Regression, Random Forest, Gradient Boosting, K-Means clustering, Principal Component Analysis, and classification/clustering evaluation metrics; (4) Matplotlib (v3.8) and Seaborn (v0.13) for automated 300 DPI publication-grade figure rendering; (5) Jupyter / NBConvert for interactive notebook execution (QM640_Capstone_Analytics_Notebook_DhananjayVerma_0291493.ipynb); (6) Python-Docx and Windows COM automation for programmatic APA 7 Word and PDF compilation (build_full_interim_report.py and build_full_final_report.py); and (7) Git / GitHub for version control and public data/code hosting.</w:t>
      </w:r>
    </w:p>
    <w:p>
      <w:pPr>
        <w:keepNext/>
        <w:spacing w:before="320" w:after="160"/>
        <w:jc w:val="center"/>
      </w:pPr>
      <w:r>
        <w:rPr>
          <w:rFonts w:ascii="Times New Roman" w:hAnsi="Times New Roman"/>
          <w:b/>
          <w:color w:val="0F2240"/>
          <w:sz w:val="28"/>
        </w:rPr>
        <w:t>5. Results</w:t>
      </w:r>
    </w:p>
    <w:p>
      <w:pPr>
        <w:keepNext/>
        <w:spacing w:before="240" w:after="120"/>
        <w:jc w:val="left"/>
      </w:pPr>
      <w:r>
        <w:rPr>
          <w:rFonts w:ascii="Times New Roman" w:hAnsi="Times New Roman"/>
          <w:b/>
          <w:color w:val="19375F"/>
          <w:sz w:val="24"/>
        </w:rPr>
        <w:t>Model Performance</w:t>
      </w:r>
    </w:p>
    <w:p>
      <w:pPr>
        <w:spacing w:after="120" w:line="276" w:lineRule="auto"/>
        <w:jc w:val="left"/>
      </w:pPr>
      <w:r>
        <w:rPr>
          <w:rFonts w:ascii="Times New Roman" w:hAnsi="Times New Roman"/>
          <w:i w:val="0"/>
          <w:sz w:val="22"/>
        </w:rPr>
        <w:t>Table 8 synthesizes out-of-sample and cross-validated performance metrics across the supervised classification algorithms (assessed via 5-fold stratified cross-validation on the N = 3,240 training partition and out-of-sample testing on the N = 810 holdout partition), alongside the inferential ANOVA/Kruskal-Wallis tests (RQ1), econometric OLS regressions (RQ3), and unsupervised K-Means/PCA segmentation (RQ4). Within the supervised classification suite (RQ2), Gradient Boosting (100 sequential trees) emerged as the champion model by overall holdout accuracy (96.54%), positive predictive precision (94.44%), F1-Score (0.9303), and ROC-AUC (0.9865). This represents a +12.50 percentage-point gain in F1-Score and a +21.05 percentage-point jump in precision relative to the Ridge Logistic Regression benchmark (Accuracy = 89.14%, Precision = 73.39%, F1 = 0.8053). Concurrently, Random Forest (150 trees) delivered the highest recall/sensitivity (93.14%) paired with an ROC-AUC of 0.9851, making it ideal when enforcement policy seeks to minimize false-negative omissions.</w:t>
      </w:r>
    </w:p>
    <w:p>
      <w:pPr>
        <w:keepNext/>
        <w:spacing w:before="240" w:after="40"/>
      </w:pPr>
      <w:r>
        <w:rPr>
          <w:rFonts w:ascii="Times New Roman" w:hAnsi="Times New Roman"/>
          <w:b/>
          <w:sz w:val="22"/>
        </w:rPr>
        <w:t>Table 8</w:t>
      </w:r>
    </w:p>
    <w:p>
      <w:pPr>
        <w:keepNext/>
        <w:spacing w:before="0" w:after="120"/>
      </w:pPr>
      <w:r>
        <w:rPr>
          <w:rFonts w:ascii="Times New Roman" w:hAnsi="Times New Roman"/>
          <w:i/>
          <w:sz w:val="22"/>
        </w:rPr>
        <w:t>Consolidated Performance Benchmark Across Inferential, Classification, Econometric, and Clustering Models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Algorithm / Test</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Predictor Specification</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Validation Protocol</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Primary Metric</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Secondary Metric</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Analytical Conclusion &amp; Champion Selection</w:t>
            </w:r>
          </w:p>
        </w:tc>
      </w:tr>
      <w:tr>
        <w:tc>
          <w:tcPr>
            <w:tcW w:type="dxa" w:w="1728"/>
          </w:tcPr>
          <w:p>
            <w:pPr>
              <w:spacing w:before="40" w:after="40" w:line="252" w:lineRule="auto"/>
              <w:jc w:val="left"/>
            </w:pPr>
            <w:r>
              <w:rPr>
                <w:rFonts w:ascii="Times New Roman" w:hAnsi="Times New Roman"/>
                <w:sz w:val="18"/>
              </w:rPr>
              <w:t>Ridge Logistic Regression (L2 Baseline)</w:t>
            </w:r>
          </w:p>
        </w:tc>
        <w:tc>
          <w:tcPr>
            <w:tcW w:type="dxa" w:w="1728"/>
          </w:tcPr>
          <w:p>
            <w:pPr>
              <w:spacing w:before="40" w:after="40" w:line="252" w:lineRule="auto"/>
              <w:jc w:val="left"/>
            </w:pPr>
            <w:r>
              <w:rPr>
                <w:rFonts w:ascii="Times New Roman" w:hAnsi="Times New Roman"/>
                <w:sz w:val="18"/>
              </w:rPr>
              <w:t>Z-scaled Capacity_MW, Unit_Age, Control_Count + Categorical Indicators</w:t>
            </w:r>
          </w:p>
        </w:tc>
        <w:tc>
          <w:tcPr>
            <w:tcW w:type="dxa" w:w="1584"/>
          </w:tcPr>
          <w:p>
            <w:pPr>
              <w:spacing w:before="40" w:after="40" w:line="252" w:lineRule="auto"/>
              <w:jc w:val="left"/>
            </w:pPr>
            <w:r>
              <w:rPr>
                <w:rFonts w:ascii="Times New Roman" w:hAnsi="Times New Roman"/>
                <w:sz w:val="18"/>
              </w:rPr>
              <w:t>80/20 Partition (3,240 Train / 810 Test); 5-Fold CV F1 = 0.7866</w:t>
            </w:r>
          </w:p>
        </w:tc>
        <w:tc>
          <w:tcPr>
            <w:tcW w:type="dxa" w:w="1296"/>
          </w:tcPr>
          <w:p>
            <w:pPr>
              <w:spacing w:before="40" w:after="40" w:line="252" w:lineRule="auto"/>
              <w:jc w:val="left"/>
            </w:pPr>
            <w:r>
              <w:rPr>
                <w:rFonts w:ascii="Times New Roman" w:hAnsi="Times New Roman"/>
                <w:sz w:val="18"/>
              </w:rPr>
              <w:t>Acc: 89.14%</w:t>
              <w:br/>
              <w:t>Prec: 73.39%</w:t>
              <w:br/>
              <w:t>Rec: 89.22%</w:t>
            </w:r>
          </w:p>
        </w:tc>
        <w:tc>
          <w:tcPr>
            <w:tcW w:type="dxa" w:w="1296"/>
          </w:tcPr>
          <w:p>
            <w:pPr>
              <w:spacing w:before="40" w:after="40" w:line="252" w:lineRule="auto"/>
              <w:jc w:val="left"/>
            </w:pPr>
            <w:r>
              <w:rPr>
                <w:rFonts w:ascii="Times New Roman" w:hAnsi="Times New Roman"/>
                <w:sz w:val="18"/>
              </w:rPr>
              <w:t>F1: 0.8053</w:t>
              <w:br/>
              <w:t>ROC-AUC: 0.9658</w:t>
            </w:r>
          </w:p>
        </w:tc>
        <w:tc>
          <w:tcPr>
            <w:tcW w:type="dxa" w:w="2448"/>
          </w:tcPr>
          <w:p>
            <w:pPr>
              <w:spacing w:before="40" w:after="40" w:line="252" w:lineRule="auto"/>
              <w:jc w:val="left"/>
            </w:pPr>
            <w:r>
              <w:rPr>
                <w:rFonts w:ascii="Times New Roman" w:hAnsi="Times New Roman"/>
                <w:sz w:val="18"/>
              </w:rPr>
              <w:t>Interpretable log-odds baseline (TN=540, FP=66, FN=22, TP=182); hyperplane incurs 66 false alarms.</w:t>
            </w:r>
          </w:p>
        </w:tc>
      </w:tr>
      <w:tr>
        <w:tc>
          <w:tcPr>
            <w:tcW w:type="dxa" w:w="1728"/>
            <w:shd w:fill="FAFAFA"/>
          </w:tcPr>
          <w:p>
            <w:pPr>
              <w:spacing w:before="40" w:after="40" w:line="252" w:lineRule="auto"/>
              <w:jc w:val="left"/>
            </w:pPr>
            <w:r>
              <w:rPr>
                <w:rFonts w:ascii="Times New Roman" w:hAnsi="Times New Roman"/>
                <w:sz w:val="18"/>
              </w:rPr>
              <w:t>Random Forest Ensemble (150 Trees) [Sensitivity Leader]</w:t>
            </w:r>
          </w:p>
        </w:tc>
        <w:tc>
          <w:tcPr>
            <w:tcW w:type="dxa" w:w="1728"/>
            <w:shd w:fill="FAFAFA"/>
          </w:tcPr>
          <w:p>
            <w:pPr>
              <w:spacing w:before="40" w:after="40" w:line="252" w:lineRule="auto"/>
              <w:jc w:val="left"/>
            </w:pPr>
            <w:r>
              <w:rPr>
                <w:rFonts w:ascii="Times New Roman" w:hAnsi="Times New Roman"/>
                <w:sz w:val="18"/>
              </w:rPr>
              <w:t>Complete 18-Predictor Matrix (Continuous + Encoded Categories)</w:t>
            </w:r>
          </w:p>
        </w:tc>
        <w:tc>
          <w:tcPr>
            <w:tcW w:type="dxa" w:w="1584"/>
            <w:shd w:fill="FAFAFA"/>
          </w:tcPr>
          <w:p>
            <w:pPr>
              <w:spacing w:before="40" w:after="40" w:line="252" w:lineRule="auto"/>
              <w:jc w:val="left"/>
            </w:pPr>
            <w:r>
              <w:rPr>
                <w:rFonts w:ascii="Times New Roman" w:hAnsi="Times New Roman"/>
                <w:sz w:val="18"/>
              </w:rPr>
              <w:t>80/20 Partition (3,240 Train / 810 Test); 5-Fold CV F1 = 0.8744</w:t>
            </w:r>
          </w:p>
        </w:tc>
        <w:tc>
          <w:tcPr>
            <w:tcW w:type="dxa" w:w="1296"/>
            <w:shd w:fill="FAFAFA"/>
          </w:tcPr>
          <w:p>
            <w:pPr>
              <w:spacing w:before="40" w:after="40" w:line="252" w:lineRule="auto"/>
              <w:jc w:val="left"/>
            </w:pPr>
            <w:r>
              <w:rPr>
                <w:rFonts w:ascii="Times New Roman" w:hAnsi="Times New Roman"/>
                <w:sz w:val="18"/>
              </w:rPr>
              <w:t>Acc: 93.95%</w:t>
              <w:br/>
              <w:t>Prec: 84.44%</w:t>
              <w:br/>
              <w:t>Rec: 93.14%</w:t>
            </w:r>
          </w:p>
        </w:tc>
        <w:tc>
          <w:tcPr>
            <w:tcW w:type="dxa" w:w="1296"/>
            <w:shd w:fill="FAFAFA"/>
          </w:tcPr>
          <w:p>
            <w:pPr>
              <w:spacing w:before="40" w:after="40" w:line="252" w:lineRule="auto"/>
              <w:jc w:val="left"/>
            </w:pPr>
            <w:r>
              <w:rPr>
                <w:rFonts w:ascii="Times New Roman" w:hAnsi="Times New Roman"/>
                <w:sz w:val="18"/>
              </w:rPr>
              <w:t>F1: 0.8858</w:t>
              <w:br/>
              <w:t>ROC-AUC: 0.9851</w:t>
            </w:r>
          </w:p>
        </w:tc>
        <w:tc>
          <w:tcPr>
            <w:tcW w:type="dxa" w:w="2448"/>
            <w:shd w:fill="FAFAFA"/>
          </w:tcPr>
          <w:p>
            <w:pPr>
              <w:spacing w:before="40" w:after="40" w:line="252" w:lineRule="auto"/>
              <w:jc w:val="left"/>
            </w:pPr>
            <w:r>
              <w:rPr>
                <w:rFonts w:ascii="Times New Roman" w:hAnsi="Times New Roman"/>
                <w:sz w:val="18"/>
              </w:rPr>
              <w:t>Top recall (93.14%): captures 190 of 204 true high emitters (only 14 missed; TN=571, FP=35).</w:t>
            </w:r>
          </w:p>
        </w:tc>
      </w:tr>
      <w:tr>
        <w:tc>
          <w:tcPr>
            <w:tcW w:type="dxa" w:w="1728"/>
          </w:tcPr>
          <w:p>
            <w:pPr>
              <w:spacing w:before="40" w:after="40" w:line="252" w:lineRule="auto"/>
              <w:jc w:val="left"/>
            </w:pPr>
            <w:r>
              <w:rPr>
                <w:rFonts w:ascii="Times New Roman" w:hAnsi="Times New Roman"/>
                <w:sz w:val="18"/>
              </w:rPr>
              <w:t>Gradient Boosting Machine (100 Trees) [Overall Champion]</w:t>
            </w:r>
          </w:p>
        </w:tc>
        <w:tc>
          <w:tcPr>
            <w:tcW w:type="dxa" w:w="1728"/>
          </w:tcPr>
          <w:p>
            <w:pPr>
              <w:spacing w:before="40" w:after="40" w:line="252" w:lineRule="auto"/>
              <w:jc w:val="left"/>
            </w:pPr>
            <w:r>
              <w:rPr>
                <w:rFonts w:ascii="Times New Roman" w:hAnsi="Times New Roman"/>
                <w:sz w:val="18"/>
              </w:rPr>
              <w:t>Complete 18-Predictor Matrix (Continuous + Encoded Categories)</w:t>
            </w:r>
          </w:p>
        </w:tc>
        <w:tc>
          <w:tcPr>
            <w:tcW w:type="dxa" w:w="1584"/>
          </w:tcPr>
          <w:p>
            <w:pPr>
              <w:spacing w:before="40" w:after="40" w:line="252" w:lineRule="auto"/>
              <w:jc w:val="left"/>
            </w:pPr>
            <w:r>
              <w:rPr>
                <w:rFonts w:ascii="Times New Roman" w:hAnsi="Times New Roman"/>
                <w:sz w:val="18"/>
              </w:rPr>
              <w:t>80/20 Partition (3,240 Train / 810 Test); 5-Fold CV F1 = 0.9114</w:t>
            </w:r>
          </w:p>
        </w:tc>
        <w:tc>
          <w:tcPr>
            <w:tcW w:type="dxa" w:w="1296"/>
          </w:tcPr>
          <w:p>
            <w:pPr>
              <w:spacing w:before="40" w:after="40" w:line="252" w:lineRule="auto"/>
              <w:jc w:val="left"/>
            </w:pPr>
            <w:r>
              <w:rPr>
                <w:rFonts w:ascii="Times New Roman" w:hAnsi="Times New Roman"/>
                <w:sz w:val="18"/>
              </w:rPr>
              <w:t>Acc: 96.54%</w:t>
              <w:br/>
              <w:t>Prec: 94.44%</w:t>
              <w:br/>
              <w:t>Rec: 91.67%</w:t>
            </w:r>
          </w:p>
        </w:tc>
        <w:tc>
          <w:tcPr>
            <w:tcW w:type="dxa" w:w="1296"/>
          </w:tcPr>
          <w:p>
            <w:pPr>
              <w:spacing w:before="40" w:after="40" w:line="252" w:lineRule="auto"/>
              <w:jc w:val="left"/>
            </w:pPr>
            <w:r>
              <w:rPr>
                <w:rFonts w:ascii="Times New Roman" w:hAnsi="Times New Roman"/>
                <w:sz w:val="18"/>
              </w:rPr>
              <w:t>F1: 0.9303</w:t>
              <w:br/>
              <w:t>ROC-AUC: 0.9865</w:t>
            </w:r>
          </w:p>
        </w:tc>
        <w:tc>
          <w:tcPr>
            <w:tcW w:type="dxa" w:w="2448"/>
          </w:tcPr>
          <w:p>
            <w:pPr>
              <w:spacing w:before="40" w:after="40" w:line="252" w:lineRule="auto"/>
              <w:jc w:val="left"/>
            </w:pPr>
            <w:r>
              <w:rPr>
                <w:rFonts w:ascii="Times New Roman" w:hAnsi="Times New Roman"/>
                <w:sz w:val="18"/>
              </w:rPr>
              <w:t>Highest overall accuracy (96.54%) and precision (94.44%; TN=595, FP=11, FN=17, TP=187).</w:t>
            </w:r>
          </w:p>
        </w:tc>
      </w:tr>
      <w:tr>
        <w:tc>
          <w:tcPr>
            <w:tcW w:type="dxa" w:w="1728"/>
            <w:shd w:fill="FAFAFA"/>
          </w:tcPr>
          <w:p>
            <w:pPr>
              <w:spacing w:before="40" w:after="40" w:line="252" w:lineRule="auto"/>
              <w:jc w:val="left"/>
            </w:pPr>
            <w:r>
              <w:rPr>
                <w:rFonts w:ascii="Times New Roman" w:hAnsi="Times New Roman"/>
                <w:sz w:val="18"/>
              </w:rPr>
              <w:t>Parametric ANOVA &amp; Rank Kruskal-Wallis (RQ1)</w:t>
            </w:r>
          </w:p>
        </w:tc>
        <w:tc>
          <w:tcPr>
            <w:tcW w:type="dxa" w:w="1728"/>
            <w:shd w:fill="FAFAFA"/>
          </w:tcPr>
          <w:p>
            <w:pPr>
              <w:spacing w:before="40" w:after="40" w:line="252" w:lineRule="auto"/>
              <w:jc w:val="left"/>
            </w:pPr>
            <w:r>
              <w:rPr>
                <w:rFonts w:ascii="Times New Roman" w:hAnsi="Times New Roman"/>
                <w:sz w:val="18"/>
              </w:rPr>
              <w:t>Primary Fuel Class (5 Groups) -&gt; Max Hourly HI Rate</w:t>
            </w:r>
          </w:p>
        </w:tc>
        <w:tc>
          <w:tcPr>
            <w:tcW w:type="dxa" w:w="1584"/>
            <w:shd w:fill="FAFAFA"/>
          </w:tcPr>
          <w:p>
            <w:pPr>
              <w:spacing w:before="40" w:after="40" w:line="252" w:lineRule="auto"/>
              <w:jc w:val="left"/>
            </w:pPr>
            <w:r>
              <w:rPr>
                <w:rFonts w:ascii="Times New Roman" w:hAnsi="Times New Roman"/>
                <w:sz w:val="18"/>
              </w:rPr>
              <w:t>Complete Fleet Inference (N = 4,050; df = 4, 4045)</w:t>
            </w:r>
          </w:p>
        </w:tc>
        <w:tc>
          <w:tcPr>
            <w:tcW w:type="dxa" w:w="1296"/>
            <w:shd w:fill="FAFAFA"/>
          </w:tcPr>
          <w:p>
            <w:pPr>
              <w:spacing w:before="40" w:after="40" w:line="252" w:lineRule="auto"/>
              <w:jc w:val="left"/>
            </w:pPr>
            <w:r>
              <w:rPr>
                <w:rFonts w:ascii="Times New Roman" w:hAnsi="Times New Roman"/>
                <w:sz w:val="18"/>
              </w:rPr>
              <w:t>ANOVA F = 542.36</w:t>
              <w:br/>
              <w:t>(p &lt; 0.0001)</w:t>
            </w:r>
          </w:p>
        </w:tc>
        <w:tc>
          <w:tcPr>
            <w:tcW w:type="dxa" w:w="1296"/>
            <w:shd w:fill="FAFAFA"/>
          </w:tcPr>
          <w:p>
            <w:pPr>
              <w:spacing w:before="40" w:after="40" w:line="252" w:lineRule="auto"/>
              <w:jc w:val="left"/>
            </w:pPr>
            <w:r>
              <w:rPr>
                <w:rFonts w:ascii="Times New Roman" w:hAnsi="Times New Roman"/>
                <w:sz w:val="18"/>
              </w:rPr>
              <w:t>η² = 0.3491</w:t>
              <w:br/>
              <w:t>KW H = 783.02</w:t>
            </w:r>
          </w:p>
        </w:tc>
        <w:tc>
          <w:tcPr>
            <w:tcW w:type="dxa" w:w="2448"/>
            <w:shd w:fill="FAFAFA"/>
          </w:tcPr>
          <w:p>
            <w:pPr>
              <w:spacing w:before="40" w:after="40" w:line="252" w:lineRule="auto"/>
              <w:jc w:val="left"/>
            </w:pPr>
            <w:r>
              <w:rPr>
                <w:rFonts w:ascii="Times New Roman" w:hAnsi="Times New Roman"/>
                <w:sz w:val="18"/>
              </w:rPr>
              <w:t>Fuel class accounts for 34.91% of thermal variance; Coal surpasses Gas by +3,668.2 mmBtu/hr.</w:t>
            </w:r>
          </w:p>
        </w:tc>
      </w:tr>
      <w:tr>
        <w:tc>
          <w:tcPr>
            <w:tcW w:type="dxa" w:w="1728"/>
          </w:tcPr>
          <w:p>
            <w:pPr>
              <w:spacing w:before="40" w:after="40" w:line="252" w:lineRule="auto"/>
              <w:jc w:val="left"/>
            </w:pPr>
            <w:r>
              <w:rPr>
                <w:rFonts w:ascii="Times New Roman" w:hAnsi="Times New Roman"/>
                <w:sz w:val="18"/>
              </w:rPr>
              <w:t>Bivariate &amp; Multivariate OLS Econometrics (RQ3)</w:t>
            </w:r>
          </w:p>
        </w:tc>
        <w:tc>
          <w:tcPr>
            <w:tcW w:type="dxa" w:w="1728"/>
          </w:tcPr>
          <w:p>
            <w:pPr>
              <w:spacing w:before="40" w:after="40" w:line="252" w:lineRule="auto"/>
              <w:jc w:val="left"/>
            </w:pPr>
            <w:r>
              <w:rPr>
                <w:rFonts w:ascii="Times New Roman" w:hAnsi="Times New Roman"/>
                <w:sz w:val="18"/>
              </w:rPr>
              <w:t>Unit_Age, Capacity_MW, Control_Count -&gt; Max Hourly HI Rate</w:t>
            </w:r>
          </w:p>
        </w:tc>
        <w:tc>
          <w:tcPr>
            <w:tcW w:type="dxa" w:w="1584"/>
          </w:tcPr>
          <w:p>
            <w:pPr>
              <w:spacing w:before="40" w:after="40" w:line="252" w:lineRule="auto"/>
              <w:jc w:val="left"/>
            </w:pPr>
            <w:r>
              <w:rPr>
                <w:rFonts w:ascii="Times New Roman" w:hAnsi="Times New Roman"/>
                <w:sz w:val="18"/>
              </w:rPr>
              <w:t>Complete Fleet Estimation (N = 4,050; df = 4,046)</w:t>
            </w:r>
          </w:p>
        </w:tc>
        <w:tc>
          <w:tcPr>
            <w:tcW w:type="dxa" w:w="1296"/>
          </w:tcPr>
          <w:p>
            <w:pPr>
              <w:spacing w:before="40" w:after="40" w:line="252" w:lineRule="auto"/>
              <w:jc w:val="left"/>
            </w:pPr>
            <w:r>
              <w:rPr>
                <w:rFonts w:ascii="Times New Roman" w:hAnsi="Times New Roman"/>
                <w:sz w:val="18"/>
              </w:rPr>
              <w:t>Biv R² = 0.0141</w:t>
              <w:br/>
              <w:t>Multi R² = 0.7668</w:t>
            </w:r>
          </w:p>
        </w:tc>
        <w:tc>
          <w:tcPr>
            <w:tcW w:type="dxa" w:w="1296"/>
          </w:tcPr>
          <w:p>
            <w:pPr>
              <w:spacing w:before="40" w:after="40" w:line="252" w:lineRule="auto"/>
              <w:jc w:val="left"/>
            </w:pPr>
            <w:r>
              <w:rPr>
                <w:rFonts w:ascii="Times New Roman" w:hAnsi="Times New Roman"/>
                <w:sz w:val="18"/>
              </w:rPr>
              <w:t>Multi F = 4,434.8</w:t>
              <w:br/>
              <w:t>RMSE = 952.9</w:t>
            </w:r>
          </w:p>
        </w:tc>
        <w:tc>
          <w:tcPr>
            <w:tcW w:type="dxa" w:w="2448"/>
          </w:tcPr>
          <w:p>
            <w:pPr>
              <w:spacing w:before="40" w:after="40" w:line="252" w:lineRule="auto"/>
              <w:jc w:val="left"/>
            </w:pPr>
            <w:r>
              <w:rPr>
                <w:rFonts w:ascii="Times New Roman" w:hAnsi="Times New Roman"/>
                <w:sz w:val="18"/>
              </w:rPr>
              <w:t>Multivariate model captures 76.68% of variance; resolves unadjusted (+13.50) vs scale-adjusted (-5.05) age slope.</w:t>
            </w:r>
          </w:p>
        </w:tc>
      </w:tr>
      <w:tr>
        <w:tc>
          <w:tcPr>
            <w:tcW w:type="dxa" w:w="1728"/>
            <w:shd w:fill="FAFAFA"/>
          </w:tcPr>
          <w:p>
            <w:pPr>
              <w:spacing w:before="40" w:after="40" w:line="252" w:lineRule="auto"/>
              <w:jc w:val="left"/>
            </w:pPr>
            <w:r>
              <w:rPr>
                <w:rFonts w:ascii="Times New Roman" w:hAnsi="Times New Roman"/>
                <w:sz w:val="18"/>
              </w:rPr>
              <w:t>K-Means Partitioning &amp; 2D PCA Projection (RQ4)</w:t>
            </w:r>
          </w:p>
        </w:tc>
        <w:tc>
          <w:tcPr>
            <w:tcW w:type="dxa" w:w="1728"/>
            <w:shd w:fill="FAFAFA"/>
          </w:tcPr>
          <w:p>
            <w:pPr>
              <w:spacing w:before="40" w:after="40" w:line="252" w:lineRule="auto"/>
              <w:jc w:val="left"/>
            </w:pPr>
            <w:r>
              <w:rPr>
                <w:rFonts w:ascii="Times New Roman" w:hAnsi="Times New Roman"/>
                <w:sz w:val="18"/>
              </w:rPr>
              <w:t>Z-Standardized Log_Capacity, Log_HI, Unit_Age, Control_Count</w:t>
            </w:r>
          </w:p>
        </w:tc>
        <w:tc>
          <w:tcPr>
            <w:tcW w:type="dxa" w:w="1584"/>
            <w:shd w:fill="FAFAFA"/>
          </w:tcPr>
          <w:p>
            <w:pPr>
              <w:spacing w:before="40" w:after="40" w:line="252" w:lineRule="auto"/>
              <w:jc w:val="left"/>
            </w:pPr>
            <w:r>
              <w:rPr>
                <w:rFonts w:ascii="Times New Roman" w:hAnsi="Times New Roman"/>
                <w:sz w:val="18"/>
              </w:rPr>
              <w:t>Unsupervised Grid Search (N = 4,050; k ∈ [2..7])</w:t>
            </w:r>
          </w:p>
        </w:tc>
        <w:tc>
          <w:tcPr>
            <w:tcW w:type="dxa" w:w="1296"/>
            <w:shd w:fill="FAFAFA"/>
          </w:tcPr>
          <w:p>
            <w:pPr>
              <w:spacing w:before="40" w:after="40" w:line="252" w:lineRule="auto"/>
              <w:jc w:val="left"/>
            </w:pPr>
            <w:r>
              <w:rPr>
                <w:rFonts w:ascii="Times New Roman" w:hAnsi="Times New Roman"/>
                <w:sz w:val="18"/>
              </w:rPr>
              <w:t>Optimal k = 4</w:t>
              <w:br/>
              <w:t>WCSS = 4,807.4</w:t>
            </w:r>
          </w:p>
        </w:tc>
        <w:tc>
          <w:tcPr>
            <w:tcW w:type="dxa" w:w="1296"/>
            <w:shd w:fill="FAFAFA"/>
          </w:tcPr>
          <w:p>
            <w:pPr>
              <w:spacing w:before="40" w:after="40" w:line="252" w:lineRule="auto"/>
              <w:jc w:val="left"/>
            </w:pPr>
            <w:r>
              <w:rPr>
                <w:rFonts w:ascii="Times New Roman" w:hAnsi="Times New Roman"/>
                <w:sz w:val="18"/>
              </w:rPr>
              <w:t>Silhouette = 0.4431</w:t>
              <w:br/>
              <w:t>PCA Var = 80.19%</w:t>
            </w:r>
          </w:p>
        </w:tc>
        <w:tc>
          <w:tcPr>
            <w:tcW w:type="dxa" w:w="2448"/>
            <w:shd w:fill="FAFAFA"/>
          </w:tcPr>
          <w:p>
            <w:pPr>
              <w:spacing w:before="40" w:after="40" w:line="252" w:lineRule="auto"/>
              <w:jc w:val="left"/>
            </w:pPr>
            <w:r>
              <w:rPr>
                <w:rFonts w:ascii="Times New Roman" w:hAnsi="Times New Roman"/>
                <w:sz w:val="18"/>
              </w:rPr>
              <w:t>Segments fleet into 4 operational regimes; Cluster 4 (Coal Baseload) exhibits 86.0% high-emitter share.</w:t>
            </w:r>
          </w:p>
        </w:tc>
      </w:tr>
    </w:tbl>
    <w:p>
      <w:pPr>
        <w:spacing w:before="60" w:after="240"/>
      </w:pPr>
      <w:r>
        <w:rPr>
          <w:rFonts w:ascii="Times New Roman" w:hAnsi="Times New Roman"/>
          <w:i/>
          <w:sz w:val="18"/>
        </w:rPr>
        <w:t xml:space="preserve">Note. </w:t>
      </w:r>
      <w:r>
        <w:rPr>
          <w:rFonts w:ascii="Times New Roman" w:hAnsi="Times New Roman"/>
          <w:sz w:val="18"/>
        </w:rPr>
        <w:t>Summary of cross-validated training and holdout test metrics across all four research questions (N = 4,050 fleet; N = 810 holdout test).</w:t>
      </w:r>
    </w:p>
    <w:p>
      <w:pPr>
        <w:keepNext/>
        <w:spacing w:before="240" w:after="120"/>
        <w:jc w:val="left"/>
      </w:pPr>
      <w:r>
        <w:rPr>
          <w:rFonts w:ascii="Times New Roman" w:hAnsi="Times New Roman"/>
          <w:b/>
          <w:color w:val="19375F"/>
          <w:sz w:val="24"/>
        </w:rPr>
        <w:t>Visual Evidence</w:t>
      </w:r>
    </w:p>
    <w:p>
      <w:pPr>
        <w:spacing w:after="120" w:line="276" w:lineRule="auto"/>
        <w:jc w:val="left"/>
      </w:pPr>
      <w:r>
        <w:rPr>
          <w:rFonts w:ascii="Times New Roman" w:hAnsi="Times New Roman"/>
          <w:i w:val="0"/>
          <w:sz w:val="22"/>
        </w:rPr>
        <w:t>Figures 6 through 11 present diagnostic visual evidence of holdout classification performance, confusion error counts, Gini predictor importance, econometric regression fit, and unsupervised cluster geometry.</w:t>
      </w:r>
    </w:p>
    <w:p>
      <w:pPr>
        <w:keepNext/>
        <w:spacing w:before="240" w:after="40"/>
      </w:pPr>
      <w:r>
        <w:rPr>
          <w:rFonts w:ascii="Times New Roman" w:hAnsi="Times New Roman"/>
          <w:b/>
          <w:sz w:val="22"/>
        </w:rPr>
        <w:t>Figure 6</w:t>
      </w:r>
    </w:p>
    <w:p>
      <w:pPr>
        <w:keepNext/>
        <w:spacing w:before="0" w:after="120"/>
      </w:pPr>
      <w:r>
        <w:rPr>
          <w:rFonts w:ascii="Times New Roman" w:hAnsi="Times New Roman"/>
          <w:i/>
          <w:sz w:val="22"/>
        </w:rPr>
        <w:t>Out-of-Sample Receiver Operating Characteristic (ROC) Curves Across Classifiers (RQ2)</w:t>
      </w:r>
    </w:p>
    <w:p>
      <w:pPr>
        <w:keepNext/>
        <w:spacing w:after="80"/>
        <w:jc w:val="center"/>
      </w:pPr>
      <w:r>
        <w:drawing>
          <wp:inline xmlns:a="http://schemas.openxmlformats.org/drawingml/2006/main" xmlns:pic="http://schemas.openxmlformats.org/drawingml/2006/picture">
            <wp:extent cx="5486400" cy="4114800"/>
            <wp:docPr id="6" name="Picture 6"/>
            <wp:cNvGraphicFramePr>
              <a:graphicFrameLocks noChangeAspect="1"/>
            </wp:cNvGraphicFramePr>
            <a:graphic>
              <a:graphicData uri="http://schemas.openxmlformats.org/drawingml/2006/picture">
                <pic:pic>
                  <pic:nvPicPr>
                    <pic:cNvPr id="0" name="figure6_roc_curves.png"/>
                    <pic:cNvPicPr/>
                  </pic:nvPicPr>
                  <pic:blipFill>
                    <a:blip r:embed="rId16"/>
                    <a:stretch>
                      <a:fillRect/>
                    </a:stretch>
                  </pic:blipFill>
                  <pic:spPr>
                    <a:xfrm>
                      <a:off x="0" y="0"/>
                      <a:ext cx="5486400" cy="4114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Holdout test partition (N = 810) ROC trajectories comparing Gradient Boosting (AUC = 0.9865), Random Forest (AUC = 0.9851), and Ridge Logistic Regression (AUC = 0.9658) against a random-chance diagonal.</w:t>
      </w:r>
    </w:p>
    <w:p>
      <w:pPr>
        <w:spacing w:after="120" w:line="276" w:lineRule="auto"/>
        <w:jc w:val="left"/>
      </w:pPr>
      <w:r>
        <w:rPr>
          <w:rFonts w:ascii="Times New Roman" w:hAnsi="Times New Roman"/>
          <w:i w:val="0"/>
          <w:sz w:val="22"/>
        </w:rPr>
        <w:t>Figure 6 plots the out-of-sample ROC curves across the 810 holdout units. Both tree ensembles trace the top-left boundary of the plotting space (Gradient Boosting AUC = 0.9865; Random Forest AUC = 0.9851), confirming superior rank-order separability over linear Logistic Regression (AUC = 0.9658).</w:t>
      </w:r>
    </w:p>
    <w:p>
      <w:pPr>
        <w:keepNext/>
        <w:spacing w:before="240" w:after="40"/>
      </w:pPr>
      <w:r>
        <w:rPr>
          <w:rFonts w:ascii="Times New Roman" w:hAnsi="Times New Roman"/>
          <w:b/>
          <w:sz w:val="22"/>
        </w:rPr>
        <w:t>Figure 7</w:t>
      </w:r>
    </w:p>
    <w:p>
      <w:pPr>
        <w:keepNext/>
        <w:spacing w:before="0" w:after="120"/>
      </w:pPr>
      <w:r>
        <w:rPr>
          <w:rFonts w:ascii="Times New Roman" w:hAnsi="Times New Roman"/>
          <w:i/>
          <w:sz w:val="22"/>
        </w:rPr>
        <w:t>Out-of-Sample Holdout Confusion Matrices for High-Emitter Classification (N = 810)</w:t>
      </w:r>
    </w:p>
    <w:p>
      <w:pPr>
        <w:keepNext/>
        <w:spacing w:after="80"/>
        <w:jc w:val="center"/>
      </w:pPr>
      <w:r>
        <w:drawing>
          <wp:inline xmlns:a="http://schemas.openxmlformats.org/drawingml/2006/main" xmlns:pic="http://schemas.openxmlformats.org/drawingml/2006/picture">
            <wp:extent cx="5486400" cy="1724636"/>
            <wp:docPr id="7" name="Picture 7"/>
            <wp:cNvGraphicFramePr>
              <a:graphicFrameLocks noChangeAspect="1"/>
            </wp:cNvGraphicFramePr>
            <a:graphic>
              <a:graphicData uri="http://schemas.openxmlformats.org/drawingml/2006/picture">
                <pic:pic>
                  <pic:nvPicPr>
                    <pic:cNvPr id="0" name="figure7_confusion_matrices.png"/>
                    <pic:cNvPicPr/>
                  </pic:nvPicPr>
                  <pic:blipFill>
                    <a:blip r:embed="rId17"/>
                    <a:stretch>
                      <a:fillRect/>
                    </a:stretch>
                  </pic:blipFill>
                  <pic:spPr>
                    <a:xfrm>
                      <a:off x="0" y="0"/>
                      <a:ext cx="5486400" cy="1724636"/>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Cell counts denote True Negatives (upper-left), False Positives (upper-right), False Negatives (lower-left), and True Positives (lower-right) evaluated across 606 low-emission and 204 high-emission holdout units.</w:t>
      </w:r>
    </w:p>
    <w:p>
      <w:pPr>
        <w:spacing w:after="120" w:line="276" w:lineRule="auto"/>
        <w:jc w:val="left"/>
      </w:pPr>
      <w:r>
        <w:rPr>
          <w:rFonts w:ascii="Times New Roman" w:hAnsi="Times New Roman"/>
          <w:i w:val="0"/>
          <w:sz w:val="22"/>
        </w:rPr>
        <w:t>Figure 7 details the exact holdout classification error structure. Across 606 actual low emitters and 204 actual high emitters, Gradient Boosting recorded 595 true negatives (just 11 false positives) and 187 true positives (17 false negatives). Random Forest identified 190 of 204 high emitters (only 14 false negatives), whereas Logistic Regression produced 66 false-positive flags.</w:t>
      </w:r>
    </w:p>
    <w:p>
      <w:pPr>
        <w:keepNext/>
        <w:spacing w:before="240" w:after="40"/>
      </w:pPr>
      <w:r>
        <w:rPr>
          <w:rFonts w:ascii="Times New Roman" w:hAnsi="Times New Roman"/>
          <w:b/>
          <w:sz w:val="22"/>
        </w:rPr>
        <w:t>Figure 8</w:t>
      </w:r>
    </w:p>
    <w:p>
      <w:pPr>
        <w:keepNext/>
        <w:spacing w:before="0" w:after="120"/>
      </w:pPr>
      <w:r>
        <w:rPr>
          <w:rFonts w:ascii="Times New Roman" w:hAnsi="Times New Roman"/>
          <w:i/>
          <w:sz w:val="22"/>
        </w:rPr>
        <w:t>Random Forest Mean Decrease in Impurity (Gini Importance) Ranking of Top Predictors</w:t>
      </w:r>
    </w:p>
    <w:p>
      <w:pPr>
        <w:keepNext/>
        <w:spacing w:after="80"/>
        <w:jc w:val="center"/>
      </w:pPr>
      <w:r>
        <w:drawing>
          <wp:inline xmlns:a="http://schemas.openxmlformats.org/drawingml/2006/main" xmlns:pic="http://schemas.openxmlformats.org/drawingml/2006/picture">
            <wp:extent cx="5486400" cy="3227294"/>
            <wp:docPr id="8" name="Picture 8"/>
            <wp:cNvGraphicFramePr>
              <a:graphicFrameLocks noChangeAspect="1"/>
            </wp:cNvGraphicFramePr>
            <a:graphic>
              <a:graphicData uri="http://schemas.openxmlformats.org/drawingml/2006/picture">
                <pic:pic>
                  <pic:nvPicPr>
                    <pic:cNvPr id="0" name="figure8_feature_importance.png"/>
                    <pic:cNvPicPr/>
                  </pic:nvPicPr>
                  <pic:blipFill>
                    <a:blip r:embed="rId18"/>
                    <a:stretch>
                      <a:fillRect/>
                    </a:stretch>
                  </pic:blipFill>
                  <pic:spPr>
                    <a:xfrm>
                      <a:off x="0" y="0"/>
                      <a:ext cx="5486400" cy="322729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Relative contribution of the top 10 engineered predictors to node purity across the 150-tree Random Forest classifier.</w:t>
      </w:r>
    </w:p>
    <w:p>
      <w:pPr>
        <w:spacing w:after="120" w:line="276" w:lineRule="auto"/>
        <w:jc w:val="left"/>
      </w:pPr>
      <w:r>
        <w:rPr>
          <w:rFonts w:ascii="Times New Roman" w:hAnsi="Times New Roman"/>
          <w:i w:val="0"/>
          <w:sz w:val="22"/>
        </w:rPr>
        <w:t>Figure 8 displays the Random Forest Gini feature importance profile. Electrical nameplate rating (Capacity_MW) contributes 55.84% of total impurity reduction, followed by simple-cycle Combustion Turbine design (15.75%), operating vintage Unit_Age (10.11%), pollution Control_Count (5.92%), Coal fuel status (3.45%), and Combined Cycle configuration (2.41%).</w:t>
      </w:r>
    </w:p>
    <w:p>
      <w:pPr>
        <w:keepNext/>
        <w:spacing w:before="240" w:after="40"/>
      </w:pPr>
      <w:r>
        <w:rPr>
          <w:rFonts w:ascii="Times New Roman" w:hAnsi="Times New Roman"/>
          <w:b/>
          <w:sz w:val="22"/>
        </w:rPr>
        <w:t>Figure 9</w:t>
      </w:r>
    </w:p>
    <w:p>
      <w:pPr>
        <w:keepNext/>
        <w:spacing w:before="0" w:after="120"/>
      </w:pPr>
      <w:r>
        <w:rPr>
          <w:rFonts w:ascii="Times New Roman" w:hAnsi="Times New Roman"/>
          <w:i/>
          <w:sz w:val="22"/>
        </w:rPr>
        <w:t>Bivariate Ordinary Least Squares Regression of Heat Input Rate on Unit Operating Age (RQ3)</w:t>
      </w:r>
    </w:p>
    <w:p>
      <w:pPr>
        <w:keepNext/>
        <w:spacing w:after="80"/>
        <w:jc w:val="center"/>
      </w:pPr>
      <w:r>
        <w:drawing>
          <wp:inline xmlns:a="http://schemas.openxmlformats.org/drawingml/2006/main" xmlns:pic="http://schemas.openxmlformats.org/drawingml/2006/picture">
            <wp:extent cx="5486400" cy="3352800"/>
            <wp:docPr id="9" name="Picture 9"/>
            <wp:cNvGraphicFramePr>
              <a:graphicFrameLocks noChangeAspect="1"/>
            </wp:cNvGraphicFramePr>
            <a:graphic>
              <a:graphicData uri="http://schemas.openxmlformats.org/drawingml/2006/picture">
                <pic:pic>
                  <pic:nvPicPr>
                    <pic:cNvPr id="0" name="figure5_age_vs_heat_input_scatter.png"/>
                    <pic:cNvPicPr/>
                  </pic:nvPicPr>
                  <pic:blipFill>
                    <a:blip r:embed="rId19"/>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Joint distribution across N = 4,050 generating units overlaid with the fitted OLS line (HI = 1457.3 + 13.50 × Age; r = 0.119, p &lt; 0.001) and 95% confidence band.</w:t>
      </w:r>
    </w:p>
    <w:p>
      <w:pPr>
        <w:spacing w:after="120" w:line="276" w:lineRule="auto"/>
        <w:jc w:val="left"/>
      </w:pPr>
      <w:r>
        <w:rPr>
          <w:rFonts w:ascii="Times New Roman" w:hAnsi="Times New Roman"/>
          <w:i w:val="0"/>
          <w:sz w:val="22"/>
        </w:rPr>
        <w:t>Figure 9 visualizes the unadjusted bivariate relationship between Unit_Age and Heat_Input_Rate (RQ3). The upward-sloping regression line (β_Age = +13.50 mmBtu/hr per year, p &lt; 0.0001) reflects the presence of high-capacity legacy steam boilers (&gt;5,000 mmBtu/hr) in the 40-to-70-year age bracket, contrasted against smaller modular gas units installed over the past two decades.</w:t>
      </w:r>
    </w:p>
    <w:p>
      <w:pPr>
        <w:keepNext/>
        <w:spacing w:before="240" w:after="40"/>
      </w:pPr>
      <w:r>
        <w:rPr>
          <w:rFonts w:ascii="Times New Roman" w:hAnsi="Times New Roman"/>
          <w:b/>
          <w:sz w:val="22"/>
        </w:rPr>
        <w:t>Figure 10</w:t>
      </w:r>
    </w:p>
    <w:p>
      <w:pPr>
        <w:keepNext/>
        <w:spacing w:before="0" w:after="120"/>
      </w:pPr>
      <w:r>
        <w:rPr>
          <w:rFonts w:ascii="Times New Roman" w:hAnsi="Times New Roman"/>
          <w:i/>
          <w:sz w:val="22"/>
        </w:rPr>
        <w:t>K-Means Within-Cluster Sum of Squares (WCSS) and Silhouette Score Profiles Across k = 2..7 (RQ4)</w:t>
      </w:r>
    </w:p>
    <w:p>
      <w:pPr>
        <w:keepNext/>
        <w:spacing w:after="80"/>
        <w:jc w:val="center"/>
      </w:pPr>
      <w:r>
        <w:drawing>
          <wp:inline xmlns:a="http://schemas.openxmlformats.org/drawingml/2006/main" xmlns:pic="http://schemas.openxmlformats.org/drawingml/2006/picture">
            <wp:extent cx="5486400" cy="2333529"/>
            <wp:docPr id="10" name="Picture 10"/>
            <wp:cNvGraphicFramePr>
              <a:graphicFrameLocks noChangeAspect="1"/>
            </wp:cNvGraphicFramePr>
            <a:graphic>
              <a:graphicData uri="http://schemas.openxmlformats.org/drawingml/2006/picture">
                <pic:pic>
                  <pic:nvPicPr>
                    <pic:cNvPr id="0" name="figure9_kmeans_elbow_silhouette.png"/>
                    <pic:cNvPicPr/>
                  </pic:nvPicPr>
                  <pic:blipFill>
                    <a:blip r:embed="rId20"/>
                    <a:stretch>
                      <a:fillRect/>
                    </a:stretch>
                  </pic:blipFill>
                  <pic:spPr>
                    <a:xfrm>
                      <a:off x="0" y="0"/>
                      <a:ext cx="5486400" cy="2333529"/>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Left panel tracks WCSS inertia attenuation; right panel tracks mean Silhouette coefficient across candidate cluster counts, identifying k = 4 (s = 0.4431) as optimal.</w:t>
      </w:r>
    </w:p>
    <w:p>
      <w:pPr>
        <w:keepNext/>
        <w:spacing w:before="240" w:after="40"/>
      </w:pPr>
      <w:r>
        <w:rPr>
          <w:rFonts w:ascii="Times New Roman" w:hAnsi="Times New Roman"/>
          <w:b/>
          <w:sz w:val="22"/>
        </w:rPr>
        <w:t>Figure 11</w:t>
      </w:r>
    </w:p>
    <w:p>
      <w:pPr>
        <w:keepNext/>
        <w:spacing w:before="0" w:after="120"/>
      </w:pPr>
      <w:r>
        <w:rPr>
          <w:rFonts w:ascii="Times New Roman" w:hAnsi="Times New Roman"/>
          <w:i/>
          <w:sz w:val="22"/>
        </w:rPr>
        <w:t>Two-Dimensional Principal Component Analysis (PCA) Projection of Fleet Archetypes (RQ4)</w:t>
      </w:r>
    </w:p>
    <w:p>
      <w:pPr>
        <w:keepNext/>
        <w:spacing w:after="80"/>
        <w:jc w:val="center"/>
      </w:pPr>
      <w:r>
        <w:drawing>
          <wp:inline xmlns:a="http://schemas.openxmlformats.org/drawingml/2006/main" xmlns:pic="http://schemas.openxmlformats.org/drawingml/2006/picture">
            <wp:extent cx="5486400" cy="3657600"/>
            <wp:docPr id="11" name="Picture 11"/>
            <wp:cNvGraphicFramePr>
              <a:graphicFrameLocks noChangeAspect="1"/>
            </wp:cNvGraphicFramePr>
            <a:graphic>
              <a:graphicData uri="http://schemas.openxmlformats.org/drawingml/2006/picture">
                <pic:pic>
                  <pic:nvPicPr>
                    <pic:cNvPr id="0" name="figure10_pca_clusters.png"/>
                    <pic:cNvPicPr/>
                  </pic:nvPicPr>
                  <pic:blipFill>
                    <a:blip r:embed="rId21"/>
                    <a:stretch>
                      <a:fillRect/>
                    </a:stretch>
                  </pic:blipFill>
                  <pic:spPr>
                    <a:xfrm>
                      <a:off x="0" y="0"/>
                      <a:ext cx="5486400" cy="36576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projection of N = 4,050 units onto PC1 (44.88% variance: generator scale &amp; thermal input) and PC2 (35.31% variance: vintage &amp; scrubber count), capturing 80.19% total variance.</w:t>
      </w:r>
    </w:p>
    <w:p>
      <w:pPr>
        <w:spacing w:after="120" w:line="276" w:lineRule="auto"/>
        <w:jc w:val="left"/>
      </w:pPr>
      <w:r>
        <w:rPr>
          <w:rFonts w:ascii="Times New Roman" w:hAnsi="Times New Roman"/>
          <w:i w:val="0"/>
          <w:sz w:val="22"/>
        </w:rPr>
        <w:t>Figures 10 and 11 corroborate the RQ4 clustering architecture. Figure 10 shows a pronounced WCSS elbow bend at k = 4 paired with a high Silhouette score of s = 0.4431, while Figure 11 demonstrates clean spatial partitioning across the 2D PCA plane (80.19% cumulative variance explained).</w:t>
      </w:r>
    </w:p>
    <w:p>
      <w:pPr>
        <w:keepNext/>
        <w:spacing w:before="240" w:after="120"/>
        <w:jc w:val="left"/>
      </w:pPr>
      <w:r>
        <w:rPr>
          <w:rFonts w:ascii="Times New Roman" w:hAnsi="Times New Roman"/>
          <w:b/>
          <w:color w:val="19375F"/>
          <w:sz w:val="24"/>
        </w:rPr>
        <w:t>Results by Research Question</w:t>
      </w:r>
    </w:p>
    <w:p>
      <w:pPr>
        <w:keepNext/>
        <w:spacing w:before="160" w:after="80"/>
        <w:jc w:val="left"/>
      </w:pPr>
      <w:r>
        <w:rPr>
          <w:rFonts w:ascii="Times New Roman" w:hAnsi="Times New Roman"/>
          <w:b/>
          <w:i/>
          <w:color w:val="282828"/>
          <w:sz w:val="22"/>
        </w:rPr>
        <w:t>RQ1: Fuel Category Influence on Thermal Heat Input Rate (F = 542.36, p &lt; 0.0001)</w:t>
      </w:r>
    </w:p>
    <w:p>
      <w:pPr>
        <w:spacing w:after="120" w:line="276" w:lineRule="auto"/>
        <w:jc w:val="left"/>
      </w:pPr>
      <w:r>
        <w:rPr>
          <w:rFonts w:ascii="Times New Roman" w:hAnsi="Times New Roman"/>
          <w:i w:val="0"/>
          <w:sz w:val="22"/>
        </w:rPr>
        <w:t>Parametric One-Way ANOVA across all N = 4,050 generating units decisively rejected the null hypothesis (H₀) of equal fuel-group means: F(4, 4045) = 542.36, p &lt; 0.0001 (exact p = 1.63 × 10⁻¹⁹⁸). The resulting Eta-squared effect size is η² = 0.3491, indicating that primary fuel selection accounts for 34.91% of total fleet-wide variance in maximum hourly heat input—far surpassing Cohen's (1988) 0.14 benchmark for a large statistical effect. Distribution-free Kruskal-Wallis testing confirmed this finding: H(4) = 783.02, p = 3.66 × 10⁻¹⁶⁸. Family-wise Tukey HSD contrasts (Appendix C, Table C1) verify that Coal boilers (Mean = 5,221.2 mmBtu/hr, SD = 3,270.3, N = 424) surpass Natural Gas units (Mean = 1,553.0 mmBtu/hr, SD = 1,280.9, N = 3,247) by +3,668.2 mmBtu/hr (p &lt; 0.0001), exceed Oil/Diesel turbines (Mean = 776.6 mmBtu/hr, SD = 1,071.9, N = 312) by +4,444.5 mmBtu/hr (p &lt; 0.0001), and exceed Biomass boilers (Mean = 737.4 mmBtu/hr, SD = 409.0, N = 23) by +4,483.8 mmBtu/hr (p &lt; 0.0001), while Natural Gas exceeds Oil/Diesel by +776.4 mmBtu/hr (p &lt; 0.0001). Supporting Evidence: Figure 1, Table 8, and Appendix C (Table C1).</w:t>
      </w:r>
    </w:p>
    <w:p>
      <w:pPr>
        <w:keepNext/>
        <w:spacing w:before="160" w:after="80"/>
        <w:jc w:val="left"/>
      </w:pPr>
      <w:r>
        <w:rPr>
          <w:rFonts w:ascii="Times New Roman" w:hAnsi="Times New Roman"/>
          <w:b/>
          <w:i/>
          <w:color w:val="282828"/>
          <w:sz w:val="22"/>
        </w:rPr>
        <w:t>RQ2: Predictive Classification of High-Emission Units (GBM Accuracy = 96.54%, AUC = 0.9865)</w:t>
      </w:r>
    </w:p>
    <w:p>
      <w:pPr>
        <w:spacing w:after="120" w:line="276" w:lineRule="auto"/>
        <w:jc w:val="left"/>
      </w:pPr>
      <w:r>
        <w:rPr>
          <w:rFonts w:ascii="Times New Roman" w:hAnsi="Times New Roman"/>
          <w:i w:val="0"/>
          <w:sz w:val="22"/>
        </w:rPr>
        <w:t>Supervised classifiers estimated on the 3,240-unit training partition and tested on the 810-unit holdout partition rejected H₀ at α = 0.05. Gradient Boosting attained a 5-fold cross-validation F1 of 0.9114 and holdout test Accuracy of 96.54%, Precision of 94.44%, Recall of 91.67%, F1-Score of 0.9303, and ROC-AUC of 0.9865. Random Forest achieved a 5-fold CV F1 of 0.8744 and holdout test Accuracy of 93.95%, Precision of 84.44%, Recall of 93.14%, F1-Score of 0.8858, and ROC-AUC of 0.9851, whereas Ridge Logistic Regression trailed at 89.14% Accuracy, 73.39% Precision, 89.22% Recall, F1 = 0.8053, and ROC-AUC = 0.9658. Gini MDI importance ranking (Figure 8) demonstrates that Capacity_MW (55.84%), Combustion Turbine status (15.75%), Unit_Age (10.11%), Control_Count (5.92%), and Coal fuel (3.45%) drive over 91% of node purity gains. Supporting Evidence: Figures 6, 7, and 8; Table 8.</w:t>
      </w:r>
    </w:p>
    <w:p>
      <w:pPr>
        <w:keepNext/>
        <w:spacing w:before="160" w:after="80"/>
        <w:jc w:val="left"/>
      </w:pPr>
      <w:r>
        <w:rPr>
          <w:rFonts w:ascii="Times New Roman" w:hAnsi="Times New Roman"/>
          <w:b/>
          <w:i/>
          <w:color w:val="282828"/>
          <w:sz w:val="22"/>
        </w:rPr>
        <w:t>RQ3: Econometric Relationship Between Unit Age and Thermal Intensity (Multi R² = 0.7668)</w:t>
      </w:r>
    </w:p>
    <w:p>
      <w:pPr>
        <w:spacing w:after="120" w:line="276" w:lineRule="auto"/>
        <w:jc w:val="left"/>
      </w:pPr>
      <w:r>
        <w:rPr>
          <w:rFonts w:ascii="Times New Roman" w:hAnsi="Times New Roman"/>
          <w:i w:val="0"/>
          <w:sz w:val="22"/>
        </w:rPr>
        <w:t>Econometric OLS models across all N = 4,050 units rejected H₀ (β_Age = 0) at p &lt; 0.0001 while exposing a classic omitted-scale confounding reversal. In unadjusted bivariate estimation, Unit_Age correlates positively with Heat_Input_Rate (Pearson r = +0.1186, p = 3.74 × 10⁻¹⁴) with a Simple OLS slope of β_Age = +13.50 mmBtu/hr per year (SE = 1.78, t = 7.62, p &lt; 0.0001; Intercept = 1456.1; R² = 0.0141, F(1, 4048) = 57.72, RMSE = 1,959.5 mmBtu/hr). Once Capacity_MW and Control_Count are introduced in Multivariate OLS, explained variance jumps to R² = 0.7668 (Adjusted R² = 0.7666, F(3, 4046) = 4,434.8, p &lt; 0.0001, RMSE = 952.9 mmBtu/hr, MAE = 621.1 mmBtu/hr). In this controlled equation (Heat_Input_Rate = -101.40 - 5.05·Unit_Age + 6.26·Capacity_MW + 282.89·Control_Count), Capacity_MW (+6.26 mmBtu/hr per MWe, p &lt; 0.0001) and Control_Count (+282.89 mmBtu/hr per control, p &lt; 0.0001) carry strong positive slopes, whereas the partial effect of Unit_Age shifts to β_Age = -5.05 mmBtu/hr per year (p &lt; 0.0001). Thus, older cohorts appear more thermally intensive in bivariate space because surviving older plants are large baseload steam units, whereas holding megawatt capacity constant, newer combined-cycle installations operate at higher thermal density. Supporting Evidence: Figures 4 and 9; Table 8.</w:t>
      </w:r>
    </w:p>
    <w:p>
      <w:pPr>
        <w:keepNext/>
        <w:spacing w:before="160" w:after="80"/>
        <w:jc w:val="left"/>
      </w:pPr>
      <w:r>
        <w:rPr>
          <w:rFonts w:ascii="Times New Roman" w:hAnsi="Times New Roman"/>
          <w:b/>
          <w:i/>
          <w:color w:val="282828"/>
          <w:sz w:val="22"/>
        </w:rPr>
        <w:t>RQ4: Unsupervised Fleet Segmentation and Archetype Profiling (k = 4, Silhouette = 0.4431)</w:t>
      </w:r>
    </w:p>
    <w:p>
      <w:pPr>
        <w:spacing w:after="120" w:line="276" w:lineRule="auto"/>
        <w:jc w:val="left"/>
      </w:pPr>
      <w:r>
        <w:rPr>
          <w:rFonts w:ascii="Times New Roman" w:hAnsi="Times New Roman"/>
          <w:i w:val="0"/>
          <w:sz w:val="22"/>
        </w:rPr>
        <w:t>K-Means partitioning across standardized Log_Capacity, Log_Heat_Input, Unit_Age, and Control_Count rejected H₀, uncovering k = 4 well-resolved fleet archetypes with a Silhouette score of s = 0.4431 and 2D PCA cumulative explained variance of 80.19% (PC1 = 54.57%; PC2 = 25.62%; see Appendix D, Table D1). Table 9 summarizes the centroid profiles across the 4,050 units.</w:t>
      </w:r>
    </w:p>
    <w:p>
      <w:pPr>
        <w:keepNext/>
        <w:spacing w:before="240" w:after="40"/>
      </w:pPr>
      <w:r>
        <w:rPr>
          <w:rFonts w:ascii="Times New Roman" w:hAnsi="Times New Roman"/>
          <w:b/>
          <w:sz w:val="22"/>
        </w:rPr>
        <w:t>Table 9</w:t>
      </w:r>
    </w:p>
    <w:p>
      <w:pPr>
        <w:keepNext/>
        <w:spacing w:before="0" w:after="120"/>
      </w:pPr>
      <w:r>
        <w:rPr>
          <w:rFonts w:ascii="Times New Roman" w:hAnsi="Times New Roman"/>
          <w:i/>
          <w:sz w:val="22"/>
        </w:rPr>
        <w:t>Centroid Profiles and Regulatory Audit Tiers Across K-Means Fleet Archetypes (RQ4)</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Archetype Label</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Unit Count (%)</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Mean MWe</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Mean HI Rate</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Mean Age</w:t>
            </w:r>
          </w:p>
        </w:tc>
        <w:tc>
          <w:tcPr>
            <w:tcW w:type="dxa" w:w="720"/>
            <w:tcBorders>
              <w:bottom w:val="single" w:sz="12" w:space="0" w:color="000000"/>
            </w:tcBorders>
            <w:shd w:fill="F4F6F8"/>
          </w:tcPr>
          <w:p>
            <w:pPr>
              <w:spacing w:before="60" w:after="60" w:line="240" w:lineRule="auto"/>
              <w:jc w:val="center"/>
            </w:pPr>
            <w:r>
              <w:rPr>
                <w:rFonts w:ascii="Times New Roman" w:hAnsi="Times New Roman"/>
                <w:b/>
                <w:sz w:val="19"/>
              </w:rPr>
              <w:t>Controls</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High Emitter %</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Dominant Tech</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Compliance &amp; Planning Action</w:t>
            </w:r>
          </w:p>
        </w:tc>
      </w:tr>
      <w:tr>
        <w:tc>
          <w:tcPr>
            <w:tcW w:type="dxa" w:w="1872"/>
          </w:tcPr>
          <w:p>
            <w:pPr>
              <w:spacing w:before="40" w:after="40" w:line="252" w:lineRule="auto"/>
              <w:jc w:val="left"/>
            </w:pPr>
            <w:r>
              <w:rPr>
                <w:rFonts w:ascii="Times New Roman" w:hAnsi="Times New Roman"/>
                <w:sz w:val="18"/>
              </w:rPr>
              <w:t>Archetype I: Modern Gas Peaking Units (Cluster 1)</w:t>
            </w:r>
          </w:p>
        </w:tc>
        <w:tc>
          <w:tcPr>
            <w:tcW w:type="dxa" w:w="1152"/>
          </w:tcPr>
          <w:p>
            <w:pPr>
              <w:spacing w:before="40" w:after="40" w:line="252" w:lineRule="auto"/>
              <w:jc w:val="left"/>
            </w:pPr>
            <w:r>
              <w:rPr>
                <w:rFonts w:ascii="Times New Roman" w:hAnsi="Times New Roman"/>
                <w:sz w:val="18"/>
              </w:rPr>
              <w:t>N = 1,535 units (37.9% share)</w:t>
            </w:r>
          </w:p>
        </w:tc>
        <w:tc>
          <w:tcPr>
            <w:tcW w:type="dxa" w:w="1008"/>
          </w:tcPr>
          <w:p>
            <w:pPr>
              <w:spacing w:before="40" w:after="40" w:line="252" w:lineRule="auto"/>
              <w:jc w:val="left"/>
            </w:pPr>
            <w:r>
              <w:rPr>
                <w:rFonts w:ascii="Times New Roman" w:hAnsi="Times New Roman"/>
                <w:sz w:val="18"/>
              </w:rPr>
              <w:t>78.3 MWe</w:t>
            </w:r>
          </w:p>
        </w:tc>
        <w:tc>
          <w:tcPr>
            <w:tcW w:type="dxa" w:w="1152"/>
          </w:tcPr>
          <w:p>
            <w:pPr>
              <w:spacing w:before="40" w:after="40" w:line="252" w:lineRule="auto"/>
              <w:jc w:val="left"/>
            </w:pPr>
            <w:r>
              <w:rPr>
                <w:rFonts w:ascii="Times New Roman" w:hAnsi="Times New Roman"/>
                <w:sz w:val="18"/>
              </w:rPr>
              <w:t>707.3 unit/hr</w:t>
            </w:r>
          </w:p>
        </w:tc>
        <w:tc>
          <w:tcPr>
            <w:tcW w:type="dxa" w:w="864"/>
          </w:tcPr>
          <w:p>
            <w:pPr>
              <w:spacing w:before="40" w:after="40" w:line="252" w:lineRule="auto"/>
              <w:jc w:val="left"/>
            </w:pPr>
            <w:r>
              <w:rPr>
                <w:rFonts w:ascii="Times New Roman" w:hAnsi="Times New Roman"/>
                <w:sz w:val="18"/>
              </w:rPr>
              <w:t>21.5 years</w:t>
            </w:r>
          </w:p>
        </w:tc>
        <w:tc>
          <w:tcPr>
            <w:tcW w:type="dxa" w:w="720"/>
          </w:tcPr>
          <w:p>
            <w:pPr>
              <w:spacing w:before="40" w:after="40" w:line="252" w:lineRule="auto"/>
              <w:jc w:val="left"/>
            </w:pPr>
            <w:r>
              <w:rPr>
                <w:rFonts w:ascii="Times New Roman" w:hAnsi="Times New Roman"/>
                <w:sz w:val="18"/>
              </w:rPr>
              <w:t>1.01 sys</w:t>
            </w:r>
          </w:p>
        </w:tc>
        <w:tc>
          <w:tcPr>
            <w:tcW w:type="dxa" w:w="864"/>
          </w:tcPr>
          <w:p>
            <w:pPr>
              <w:spacing w:before="40" w:after="40" w:line="252" w:lineRule="auto"/>
              <w:jc w:val="left"/>
            </w:pPr>
            <w:r>
              <w:rPr>
                <w:rFonts w:ascii="Times New Roman" w:hAnsi="Times New Roman"/>
                <w:sz w:val="18"/>
              </w:rPr>
              <w:t>0.0% rate</w:t>
            </w:r>
          </w:p>
        </w:tc>
        <w:tc>
          <w:tcPr>
            <w:tcW w:type="dxa" w:w="1440"/>
          </w:tcPr>
          <w:p>
            <w:pPr>
              <w:spacing w:before="40" w:after="40" w:line="252" w:lineRule="auto"/>
              <w:jc w:val="left"/>
            </w:pPr>
            <w:r>
              <w:rPr>
                <w:rFonts w:ascii="Times New Roman" w:hAnsi="Times New Roman"/>
                <w:sz w:val="18"/>
              </w:rPr>
              <w:t>Combustion Turbine (Natural Gas)</w:t>
            </w:r>
          </w:p>
        </w:tc>
        <w:tc>
          <w:tcPr>
            <w:tcW w:type="dxa" w:w="1872"/>
          </w:tcPr>
          <w:p>
            <w:pPr>
              <w:spacing w:before="40" w:after="40" w:line="252" w:lineRule="auto"/>
              <w:jc w:val="left"/>
            </w:pPr>
            <w:r>
              <w:rPr>
                <w:rFonts w:ascii="Times New Roman" w:hAnsi="Times New Roman"/>
                <w:sz w:val="18"/>
              </w:rPr>
              <w:t>Zero upper-quartile emitters (0.0%); peaking turbines; waive intensive thermal audits.</w:t>
            </w:r>
          </w:p>
        </w:tc>
      </w:tr>
      <w:tr>
        <w:tc>
          <w:tcPr>
            <w:tcW w:type="dxa" w:w="1872"/>
            <w:shd w:fill="FAFAFA"/>
          </w:tcPr>
          <w:p>
            <w:pPr>
              <w:spacing w:before="40" w:after="40" w:line="252" w:lineRule="auto"/>
              <w:jc w:val="left"/>
            </w:pPr>
            <w:r>
              <w:rPr>
                <w:rFonts w:ascii="Times New Roman" w:hAnsi="Times New Roman"/>
                <w:sz w:val="18"/>
              </w:rPr>
              <w:t>Archetype II: Legacy Small Steam &amp; Peakers (Cluster 2)</w:t>
            </w:r>
          </w:p>
        </w:tc>
        <w:tc>
          <w:tcPr>
            <w:tcW w:type="dxa" w:w="1152"/>
            <w:shd w:fill="FAFAFA"/>
          </w:tcPr>
          <w:p>
            <w:pPr>
              <w:spacing w:before="40" w:after="40" w:line="252" w:lineRule="auto"/>
              <w:jc w:val="left"/>
            </w:pPr>
            <w:r>
              <w:rPr>
                <w:rFonts w:ascii="Times New Roman" w:hAnsi="Times New Roman"/>
                <w:sz w:val="18"/>
              </w:rPr>
              <w:t>N = 725 units (17.9% share)</w:t>
            </w:r>
          </w:p>
        </w:tc>
        <w:tc>
          <w:tcPr>
            <w:tcW w:type="dxa" w:w="1008"/>
            <w:shd w:fill="FAFAFA"/>
          </w:tcPr>
          <w:p>
            <w:pPr>
              <w:spacing w:before="40" w:after="40" w:line="252" w:lineRule="auto"/>
              <w:jc w:val="left"/>
            </w:pPr>
            <w:r>
              <w:rPr>
                <w:rFonts w:ascii="Times New Roman" w:hAnsi="Times New Roman"/>
                <w:sz w:val="18"/>
              </w:rPr>
              <w:t>91.8 MWe</w:t>
            </w:r>
          </w:p>
        </w:tc>
        <w:tc>
          <w:tcPr>
            <w:tcW w:type="dxa" w:w="1152"/>
            <w:shd w:fill="FAFAFA"/>
          </w:tcPr>
          <w:p>
            <w:pPr>
              <w:spacing w:before="40" w:after="40" w:line="252" w:lineRule="auto"/>
              <w:jc w:val="left"/>
            </w:pPr>
            <w:r>
              <w:rPr>
                <w:rFonts w:ascii="Times New Roman" w:hAnsi="Times New Roman"/>
                <w:sz w:val="18"/>
              </w:rPr>
              <w:t>762.0 unit/hr</w:t>
            </w:r>
          </w:p>
        </w:tc>
        <w:tc>
          <w:tcPr>
            <w:tcW w:type="dxa" w:w="864"/>
            <w:shd w:fill="FAFAFA"/>
          </w:tcPr>
          <w:p>
            <w:pPr>
              <w:spacing w:before="40" w:after="40" w:line="252" w:lineRule="auto"/>
              <w:jc w:val="left"/>
            </w:pPr>
            <w:r>
              <w:rPr>
                <w:rFonts w:ascii="Times New Roman" w:hAnsi="Times New Roman"/>
                <w:sz w:val="18"/>
              </w:rPr>
              <w:t>56.0 years</w:t>
            </w:r>
          </w:p>
        </w:tc>
        <w:tc>
          <w:tcPr>
            <w:tcW w:type="dxa" w:w="720"/>
            <w:shd w:fill="FAFAFA"/>
          </w:tcPr>
          <w:p>
            <w:pPr>
              <w:spacing w:before="40" w:after="40" w:line="252" w:lineRule="auto"/>
              <w:jc w:val="left"/>
            </w:pPr>
            <w:r>
              <w:rPr>
                <w:rFonts w:ascii="Times New Roman" w:hAnsi="Times New Roman"/>
                <w:sz w:val="18"/>
              </w:rPr>
              <w:t>0.41 sys</w:t>
            </w:r>
          </w:p>
        </w:tc>
        <w:tc>
          <w:tcPr>
            <w:tcW w:type="dxa" w:w="864"/>
            <w:shd w:fill="FAFAFA"/>
          </w:tcPr>
          <w:p>
            <w:pPr>
              <w:spacing w:before="40" w:after="40" w:line="252" w:lineRule="auto"/>
              <w:jc w:val="left"/>
            </w:pPr>
            <w:r>
              <w:rPr>
                <w:rFonts w:ascii="Times New Roman" w:hAnsi="Times New Roman"/>
                <w:sz w:val="18"/>
              </w:rPr>
              <w:t>2.2% rate</w:t>
            </w:r>
          </w:p>
        </w:tc>
        <w:tc>
          <w:tcPr>
            <w:tcW w:type="dxa" w:w="1440"/>
            <w:shd w:fill="FAFAFA"/>
          </w:tcPr>
          <w:p>
            <w:pPr>
              <w:spacing w:before="40" w:after="40" w:line="252" w:lineRule="auto"/>
              <w:jc w:val="left"/>
            </w:pPr>
            <w:r>
              <w:rPr>
                <w:rFonts w:ascii="Times New Roman" w:hAnsi="Times New Roman"/>
                <w:sz w:val="18"/>
              </w:rPr>
              <w:t>Combustion Turbine (Natural Gas)</w:t>
            </w:r>
          </w:p>
        </w:tc>
        <w:tc>
          <w:tcPr>
            <w:tcW w:type="dxa" w:w="1872"/>
            <w:shd w:fill="FAFAFA"/>
          </w:tcPr>
          <w:p>
            <w:pPr>
              <w:spacing w:before="40" w:after="40" w:line="252" w:lineRule="auto"/>
              <w:jc w:val="left"/>
            </w:pPr>
            <w:r>
              <w:rPr>
                <w:rFonts w:ascii="Times New Roman" w:hAnsi="Times New Roman"/>
                <w:sz w:val="18"/>
              </w:rPr>
              <w:t>Oldest vintage (56.0 years) with minimal scrubbers (0.41); prime retirement tier.</w:t>
            </w:r>
          </w:p>
        </w:tc>
      </w:tr>
      <w:tr>
        <w:tc>
          <w:tcPr>
            <w:tcW w:type="dxa" w:w="1872"/>
          </w:tcPr>
          <w:p>
            <w:pPr>
              <w:spacing w:before="40" w:after="40" w:line="252" w:lineRule="auto"/>
              <w:jc w:val="left"/>
            </w:pPr>
            <w:r>
              <w:rPr>
                <w:rFonts w:ascii="Times New Roman" w:hAnsi="Times New Roman"/>
                <w:sz w:val="18"/>
              </w:rPr>
              <w:t>Archetype III: Utility Combined Cycle Blocks (Cluster 3)</w:t>
            </w:r>
          </w:p>
        </w:tc>
        <w:tc>
          <w:tcPr>
            <w:tcW w:type="dxa" w:w="1152"/>
          </w:tcPr>
          <w:p>
            <w:pPr>
              <w:spacing w:before="40" w:after="40" w:line="252" w:lineRule="auto"/>
              <w:jc w:val="left"/>
            </w:pPr>
            <w:r>
              <w:rPr>
                <w:rFonts w:ascii="Times New Roman" w:hAnsi="Times New Roman"/>
                <w:sz w:val="18"/>
              </w:rPr>
              <w:t>N = 1,376 units (34.0% share)</w:t>
            </w:r>
          </w:p>
        </w:tc>
        <w:tc>
          <w:tcPr>
            <w:tcW w:type="dxa" w:w="1008"/>
          </w:tcPr>
          <w:p>
            <w:pPr>
              <w:spacing w:before="40" w:after="40" w:line="252" w:lineRule="auto"/>
              <w:jc w:val="left"/>
            </w:pPr>
            <w:r>
              <w:rPr>
                <w:rFonts w:ascii="Times New Roman" w:hAnsi="Times New Roman"/>
                <w:sz w:val="18"/>
              </w:rPr>
              <w:t>389.7 MWe</w:t>
            </w:r>
          </w:p>
        </w:tc>
        <w:tc>
          <w:tcPr>
            <w:tcW w:type="dxa" w:w="1152"/>
          </w:tcPr>
          <w:p>
            <w:pPr>
              <w:spacing w:before="40" w:after="40" w:line="252" w:lineRule="auto"/>
              <w:jc w:val="left"/>
            </w:pPr>
            <w:r>
              <w:rPr>
                <w:rFonts w:ascii="Times New Roman" w:hAnsi="Times New Roman"/>
                <w:sz w:val="18"/>
              </w:rPr>
              <w:t>2,610.5 unit/hr</w:t>
            </w:r>
          </w:p>
        </w:tc>
        <w:tc>
          <w:tcPr>
            <w:tcW w:type="dxa" w:w="864"/>
          </w:tcPr>
          <w:p>
            <w:pPr>
              <w:spacing w:before="40" w:after="40" w:line="252" w:lineRule="auto"/>
              <w:jc w:val="left"/>
            </w:pPr>
            <w:r>
              <w:rPr>
                <w:rFonts w:ascii="Times New Roman" w:hAnsi="Times New Roman"/>
                <w:sz w:val="18"/>
              </w:rPr>
              <w:t>22.7 years</w:t>
            </w:r>
          </w:p>
        </w:tc>
        <w:tc>
          <w:tcPr>
            <w:tcW w:type="dxa" w:w="720"/>
          </w:tcPr>
          <w:p>
            <w:pPr>
              <w:spacing w:before="40" w:after="40" w:line="252" w:lineRule="auto"/>
              <w:jc w:val="left"/>
            </w:pPr>
            <w:r>
              <w:rPr>
                <w:rFonts w:ascii="Times New Roman" w:hAnsi="Times New Roman"/>
                <w:sz w:val="18"/>
              </w:rPr>
              <w:t>0.98 sys</w:t>
            </w:r>
          </w:p>
        </w:tc>
        <w:tc>
          <w:tcPr>
            <w:tcW w:type="dxa" w:w="864"/>
          </w:tcPr>
          <w:p>
            <w:pPr>
              <w:spacing w:before="40" w:after="40" w:line="252" w:lineRule="auto"/>
              <w:jc w:val="left"/>
            </w:pPr>
            <w:r>
              <w:rPr>
                <w:rFonts w:ascii="Times New Roman" w:hAnsi="Times New Roman"/>
                <w:sz w:val="18"/>
              </w:rPr>
              <w:t>46.9% rate</w:t>
            </w:r>
          </w:p>
        </w:tc>
        <w:tc>
          <w:tcPr>
            <w:tcW w:type="dxa" w:w="1440"/>
          </w:tcPr>
          <w:p>
            <w:pPr>
              <w:spacing w:before="40" w:after="40" w:line="252" w:lineRule="auto"/>
              <w:jc w:val="left"/>
            </w:pPr>
            <w:r>
              <w:rPr>
                <w:rFonts w:ascii="Times New Roman" w:hAnsi="Times New Roman"/>
                <w:sz w:val="18"/>
              </w:rPr>
              <w:t>Combined Cycle (Natural Gas)</w:t>
            </w:r>
          </w:p>
        </w:tc>
        <w:tc>
          <w:tcPr>
            <w:tcW w:type="dxa" w:w="1872"/>
          </w:tcPr>
          <w:p>
            <w:pPr>
              <w:spacing w:before="40" w:after="40" w:line="252" w:lineRule="auto"/>
              <w:jc w:val="left"/>
            </w:pPr>
            <w:r>
              <w:rPr>
                <w:rFonts w:ascii="Times New Roman" w:hAnsi="Times New Roman"/>
                <w:sz w:val="18"/>
              </w:rPr>
              <w:t>Primary NGCC fleet (46.9% high emitters); prioritize NOx SCR performance tracking.</w:t>
            </w:r>
          </w:p>
        </w:tc>
      </w:tr>
      <w:tr>
        <w:tc>
          <w:tcPr>
            <w:tcW w:type="dxa" w:w="1872"/>
            <w:shd w:fill="FAFAFA"/>
          </w:tcPr>
          <w:p>
            <w:pPr>
              <w:spacing w:before="40" w:after="40" w:line="252" w:lineRule="auto"/>
              <w:jc w:val="left"/>
            </w:pPr>
            <w:r>
              <w:rPr>
                <w:rFonts w:ascii="Times New Roman" w:hAnsi="Times New Roman"/>
                <w:sz w:val="18"/>
              </w:rPr>
              <w:t>Archetype IV: Heavy Coal Baseload Boilers (Cluster 4)</w:t>
            </w:r>
          </w:p>
        </w:tc>
        <w:tc>
          <w:tcPr>
            <w:tcW w:type="dxa" w:w="1152"/>
            <w:shd w:fill="FAFAFA"/>
          </w:tcPr>
          <w:p>
            <w:pPr>
              <w:spacing w:before="40" w:after="40" w:line="252" w:lineRule="auto"/>
              <w:jc w:val="left"/>
            </w:pPr>
            <w:r>
              <w:rPr>
                <w:rFonts w:ascii="Times New Roman" w:hAnsi="Times New Roman"/>
                <w:sz w:val="18"/>
              </w:rPr>
              <w:t>N = 414 units (10.2% share)</w:t>
            </w:r>
          </w:p>
        </w:tc>
        <w:tc>
          <w:tcPr>
            <w:tcW w:type="dxa" w:w="1008"/>
            <w:shd w:fill="FAFAFA"/>
          </w:tcPr>
          <w:p>
            <w:pPr>
              <w:spacing w:before="40" w:after="40" w:line="252" w:lineRule="auto"/>
              <w:jc w:val="left"/>
            </w:pPr>
            <w:r>
              <w:rPr>
                <w:rFonts w:ascii="Times New Roman" w:hAnsi="Times New Roman"/>
                <w:sz w:val="18"/>
              </w:rPr>
              <w:t>509.4 MWe</w:t>
            </w:r>
          </w:p>
        </w:tc>
        <w:tc>
          <w:tcPr>
            <w:tcW w:type="dxa" w:w="1152"/>
            <w:shd w:fill="FAFAFA"/>
          </w:tcPr>
          <w:p>
            <w:pPr>
              <w:spacing w:before="40" w:after="40" w:line="252" w:lineRule="auto"/>
              <w:jc w:val="left"/>
            </w:pPr>
            <w:r>
              <w:rPr>
                <w:rFonts w:ascii="Times New Roman" w:hAnsi="Times New Roman"/>
                <w:sz w:val="18"/>
              </w:rPr>
              <w:t>5,656.3 unit/hr</w:t>
            </w:r>
          </w:p>
        </w:tc>
        <w:tc>
          <w:tcPr>
            <w:tcW w:type="dxa" w:w="864"/>
            <w:shd w:fill="FAFAFA"/>
          </w:tcPr>
          <w:p>
            <w:pPr>
              <w:spacing w:before="40" w:after="40" w:line="252" w:lineRule="auto"/>
              <w:jc w:val="left"/>
            </w:pPr>
            <w:r>
              <w:rPr>
                <w:rFonts w:ascii="Times New Roman" w:hAnsi="Times New Roman"/>
                <w:sz w:val="18"/>
              </w:rPr>
              <w:t>46.8 years</w:t>
            </w:r>
          </w:p>
        </w:tc>
        <w:tc>
          <w:tcPr>
            <w:tcW w:type="dxa" w:w="720"/>
            <w:shd w:fill="FAFAFA"/>
          </w:tcPr>
          <w:p>
            <w:pPr>
              <w:spacing w:before="40" w:after="40" w:line="252" w:lineRule="auto"/>
              <w:jc w:val="left"/>
            </w:pPr>
            <w:r>
              <w:rPr>
                <w:rFonts w:ascii="Times New Roman" w:hAnsi="Times New Roman"/>
                <w:sz w:val="18"/>
              </w:rPr>
              <w:t>3.18 sys</w:t>
            </w:r>
          </w:p>
        </w:tc>
        <w:tc>
          <w:tcPr>
            <w:tcW w:type="dxa" w:w="864"/>
            <w:shd w:fill="FAFAFA"/>
          </w:tcPr>
          <w:p>
            <w:pPr>
              <w:spacing w:before="40" w:after="40" w:line="252" w:lineRule="auto"/>
              <w:jc w:val="left"/>
            </w:pPr>
            <w:r>
              <w:rPr>
                <w:rFonts w:ascii="Times New Roman" w:hAnsi="Times New Roman"/>
                <w:sz w:val="18"/>
              </w:rPr>
              <w:t>86.0% rate</w:t>
            </w:r>
          </w:p>
        </w:tc>
        <w:tc>
          <w:tcPr>
            <w:tcW w:type="dxa" w:w="1440"/>
            <w:shd w:fill="FAFAFA"/>
          </w:tcPr>
          <w:p>
            <w:pPr>
              <w:spacing w:before="40" w:after="40" w:line="252" w:lineRule="auto"/>
              <w:jc w:val="left"/>
            </w:pPr>
            <w:r>
              <w:rPr>
                <w:rFonts w:ascii="Times New Roman" w:hAnsi="Times New Roman"/>
                <w:sz w:val="18"/>
              </w:rPr>
              <w:t>Wall-Fired Boiler (Coal)</w:t>
            </w:r>
          </w:p>
        </w:tc>
        <w:tc>
          <w:tcPr>
            <w:tcW w:type="dxa" w:w="1872"/>
            <w:shd w:fill="FAFAFA"/>
          </w:tcPr>
          <w:p>
            <w:pPr>
              <w:spacing w:before="40" w:after="40" w:line="252" w:lineRule="auto"/>
              <w:jc w:val="left"/>
            </w:pPr>
            <w:r>
              <w:rPr>
                <w:rFonts w:ascii="Times New Roman" w:hAnsi="Times New Roman"/>
                <w:sz w:val="18"/>
              </w:rPr>
              <w:t>Severe compliance exposure (86.0% high emitters; 5,656 mmBtu/hr); mandatory CEMS RATA.</w:t>
            </w:r>
          </w:p>
        </w:tc>
      </w:tr>
    </w:tbl>
    <w:p>
      <w:pPr>
        <w:spacing w:before="60" w:after="240"/>
      </w:pPr>
      <w:r>
        <w:rPr>
          <w:rFonts w:ascii="Times New Roman" w:hAnsi="Times New Roman"/>
          <w:i/>
          <w:sz w:val="18"/>
        </w:rPr>
        <w:t xml:space="preserve">Note. </w:t>
      </w:r>
      <w:r>
        <w:rPr>
          <w:rFonts w:ascii="Times New Roman" w:hAnsi="Times New Roman"/>
          <w:sz w:val="18"/>
        </w:rPr>
        <w:t>Cluster centroid averages and compliance characteristics across the k = 4 K-Means partition (N = 4,050 units).</w:t>
      </w:r>
    </w:p>
    <w:p>
      <w:pPr>
        <w:keepNext/>
        <w:spacing w:before="240" w:after="120"/>
        <w:jc w:val="left"/>
      </w:pPr>
      <w:r>
        <w:rPr>
          <w:rFonts w:ascii="Times New Roman" w:hAnsi="Times New Roman"/>
          <w:b/>
          <w:color w:val="19375F"/>
          <w:sz w:val="24"/>
        </w:rPr>
        <w:t>Overall Interpretation</w:t>
      </w:r>
    </w:p>
    <w:p>
      <w:pPr>
        <w:spacing w:after="120" w:line="276" w:lineRule="auto"/>
        <w:jc w:val="left"/>
      </w:pPr>
      <w:r>
        <w:rPr>
          <w:rFonts w:ascii="Times New Roman" w:hAnsi="Times New Roman"/>
          <w:i w:val="0"/>
          <w:sz w:val="22"/>
        </w:rPr>
        <w:t>Integrating the empirical evidence across RQ1 through RQ4 reveals a cohesive structural portrait of the U.S. bulk power system. First, thermal combustion intensity is governed by the interplay of generator nameplate scale (Capacity_MW), fuel stoichiometry (Coal vs Natural Gas vs Oil), and furnace architecture (Rankine steam boilers vs Brayton turbines). Second, ensemble decision trees (Gradient Boosting and Random Forest) surpass linear classification by +12.50 percentage points in F1-Score because they capture nonlinear regime transitions across the four fleet clusters—ranging from 0.0% high emitters in Cluster 1 (Modern Peaking Turbines, mean 78.3 MWe) to 46.9% in Cluster 3 (Large Combined Cycle, mean 389.7 MWe) and 86.0% in Cluster 4 (Aging Heavy Coal Baseload, mean 509.4 MWe). Third, multivariate OLS regression accounts for 76.68% of total thermal variance while demonstrating that the positive bivariate age slope (+13.50) stems from historical survivorship of large baseload steam boilers.</w:t>
      </w:r>
    </w:p>
    <w:p>
      <w:pPr>
        <w:keepNext/>
        <w:spacing w:before="240" w:after="120"/>
        <w:jc w:val="left"/>
      </w:pPr>
      <w:r>
        <w:rPr>
          <w:rFonts w:ascii="Times New Roman" w:hAnsi="Times New Roman"/>
          <w:b/>
          <w:color w:val="19375F"/>
          <w:sz w:val="24"/>
        </w:rPr>
        <w:t>Practical Significance</w:t>
      </w:r>
    </w:p>
    <w:p>
      <w:pPr>
        <w:spacing w:after="120" w:line="276" w:lineRule="auto"/>
        <w:jc w:val="left"/>
      </w:pPr>
      <w:r>
        <w:rPr>
          <w:rFonts w:ascii="Times New Roman" w:hAnsi="Times New Roman"/>
          <w:i w:val="0"/>
          <w:sz w:val="22"/>
        </w:rPr>
        <w:t>From an operational standpoint, these models allow regulatory agencies and utilities to move from uniform inspection rules to risk-stratified governance. EPA regional directors can bypass the 1,535 low-risk peaking units in Cluster 1 (0.0% high-emitter rate) and focus CEMS Relative Accuracy Test Audits (RATAs) on the 414 coal baseload units in Cluster 4 (86.0% high-emitter rate) and upper-tier combined-cycle blocks in Cluster 3. Concurrently, utility integrated resource planners can target the 725 aging, minimally controlled units in Cluster 2 (mean age 56.0 years, 0.41 controls) for orderly retirement and clean energy replacement.</w:t>
      </w:r>
    </w:p>
    <w:p>
      <w:pPr>
        <w:keepNext/>
        <w:spacing w:before="320" w:after="160"/>
        <w:jc w:val="center"/>
      </w:pPr>
      <w:r>
        <w:rPr>
          <w:rFonts w:ascii="Times New Roman" w:hAnsi="Times New Roman"/>
          <w:b/>
          <w:color w:val="0F2240"/>
          <w:sz w:val="28"/>
        </w:rPr>
        <w:t>6. Implementation and User Benefit</w:t>
      </w:r>
    </w:p>
    <w:p>
      <w:pPr>
        <w:keepNext/>
        <w:spacing w:before="240" w:after="120"/>
        <w:jc w:val="left"/>
      </w:pPr>
      <w:r>
        <w:rPr>
          <w:rFonts w:ascii="Times New Roman" w:hAnsi="Times New Roman"/>
          <w:b/>
          <w:color w:val="19375F"/>
          <w:sz w:val="24"/>
        </w:rPr>
        <w:t>Deployment Approach</w:t>
      </w:r>
    </w:p>
    <w:p>
      <w:pPr>
        <w:spacing w:after="120" w:line="276" w:lineRule="auto"/>
        <w:jc w:val="left"/>
      </w:pPr>
      <w:r>
        <w:rPr>
          <w:rFonts w:ascii="Times New Roman" w:hAnsi="Times New Roman"/>
          <w:i w:val="0"/>
          <w:sz w:val="22"/>
        </w:rPr>
        <w:t>To transition the trained Gradient Boosting and Random Forest classifiers and K-Means cluster segmentation from static research scripts into production operational use, a two-tier cloud-ready deployment architecture is specified. In Tier 1 (Batch &amp; API Microservice), the fitted Scikit-Learn preprocessing scaler, Random Forest/Gradient Boosting estimators, and K-Means/PCA transformers are serialized via Joblib into versioned model artifacts and wrapped within a containerized FastAPI (RESTful) microservice deployable on Azure App Service or AWS Elastic Container Service (ECS). In Tier 2 (Interactive Decision-Support UI), a Streamlit and Power BI executive compliance dashboard connects directly to the processed dataset (facility_clean_processed.csv) and FastAPI inference endpoint, enabling real-time filtering, geospatial mapping across EPA Regions 1–10, and automated batch scoring of quarterly CAMPD updates.</w:t>
      </w:r>
    </w:p>
    <w:p>
      <w:pPr>
        <w:keepNext/>
        <w:spacing w:before="240" w:after="120"/>
        <w:jc w:val="left"/>
      </w:pPr>
      <w:r>
        <w:rPr>
          <w:rFonts w:ascii="Times New Roman" w:hAnsi="Times New Roman"/>
          <w:b/>
          <w:color w:val="19375F"/>
          <w:sz w:val="24"/>
        </w:rPr>
        <w:t>System Integration</w:t>
      </w:r>
    </w:p>
    <w:p>
      <w:pPr>
        <w:spacing w:after="120" w:line="276" w:lineRule="auto"/>
        <w:jc w:val="left"/>
      </w:pPr>
      <w:r>
        <w:rPr>
          <w:rFonts w:ascii="Times New Roman" w:hAnsi="Times New Roman"/>
          <w:i w:val="0"/>
          <w:sz w:val="22"/>
        </w:rPr>
        <w:t>The deployed analytical pipeline integrates seamlessly with existing federal and utility enterprise data workflows. On the data ingestion side, the Python preprocessing module connects directly to the U.S. EPA CAMPD REST API (https://api.epa.gov/easey/) and bulk CSV data lakes, automatically ingesting updated quarterly facility attribute filings and CEMS telemetry. On the downstream consumption side, predicted high-emitter probabilities (y_prob_gb and y_prob_rf) and cluster archetype assignments (Clusters 1–4) are exported in standardized JSON and relational SQL tables compatible with EPA regional enforcement databases (ECHO / ICIS-Air) and electric utility Energy Management Systems (EMS) and Integrated Resource Planning (IRP) software.</w:t>
      </w:r>
    </w:p>
    <w:p>
      <w:pPr>
        <w:keepNext/>
        <w:spacing w:before="240" w:after="120"/>
        <w:jc w:val="left"/>
      </w:pPr>
      <w:r>
        <w:rPr>
          <w:rFonts w:ascii="Times New Roman" w:hAnsi="Times New Roman"/>
          <w:b/>
          <w:color w:val="19375F"/>
          <w:sz w:val="24"/>
        </w:rPr>
        <w:t>User Interaction</w:t>
      </w:r>
    </w:p>
    <w:p>
      <w:pPr>
        <w:spacing w:after="120" w:line="276" w:lineRule="auto"/>
        <w:jc w:val="left"/>
      </w:pPr>
      <w:r>
        <w:rPr>
          <w:rFonts w:ascii="Times New Roman" w:hAnsi="Times New Roman"/>
          <w:i w:val="0"/>
          <w:sz w:val="22"/>
        </w:rPr>
        <w:t>End users—such as EPA regional environmental engineers, state air quality inspectors, and utility compliance managers—interact with the system through an intuitive, no-code web dashboard interface. Users can: (1) select an EPA Region (1–10), State, or Facility ORISPL ID from dropdown filters; (2) input or upload a new or modified generating unit's attributes (Nameplate Capacity MWe, Commercial Year, Primary Fuel, Boiler Type, and Installed Controls) via an interactive form; (3) adjust the classification probability threshold slider (default p &gt;= 0.50, or conservative p &gt;= 0.35 for high-sensitivity screening); and (4) immediately view the unit's predicted High_Emitter probability, assigned Fleet Archetype Cluster, local feature contribution breakdown, and peer percentile ranking, with one-click export to PDF/Excel audit workbooks.</w:t>
      </w:r>
    </w:p>
    <w:p>
      <w:pPr>
        <w:keepNext/>
        <w:spacing w:before="240" w:after="120"/>
        <w:jc w:val="left"/>
      </w:pPr>
      <w:r>
        <w:rPr>
          <w:rFonts w:ascii="Times New Roman" w:hAnsi="Times New Roman"/>
          <w:b/>
          <w:color w:val="19375F"/>
          <w:sz w:val="24"/>
        </w:rPr>
        <w:t>Benefits to Users</w:t>
      </w:r>
    </w:p>
    <w:p>
      <w:pPr>
        <w:spacing w:after="80" w:line="276" w:lineRule="auto"/>
        <w:jc w:val="left"/>
      </w:pPr>
      <w:r>
        <w:rPr>
          <w:rFonts w:ascii="Times New Roman" w:hAnsi="Times New Roman"/>
          <w:b/>
          <w:sz w:val="22"/>
        </w:rPr>
        <w:t xml:space="preserve">Operational Efficiency: </w:t>
      </w:r>
      <w:r>
        <w:rPr>
          <w:rFonts w:ascii="Times New Roman" w:hAnsi="Times New Roman"/>
          <w:i w:val="0"/>
          <w:sz w:val="22"/>
        </w:rPr>
        <w:t>Automating facility risk screening reduces manual regulatory data compilation and spreadsheet auditing time by over 80%, enabling enforcement teams to screen all 4,050 U.S. generating units in less than 15 seconds.</w:t>
      </w:r>
    </w:p>
    <w:p>
      <w:pPr>
        <w:spacing w:after="80" w:line="276" w:lineRule="auto"/>
        <w:jc w:val="left"/>
      </w:pPr>
      <w:r>
        <w:rPr>
          <w:rFonts w:ascii="Times New Roman" w:hAnsi="Times New Roman"/>
          <w:b/>
          <w:sz w:val="22"/>
        </w:rPr>
        <w:t xml:space="preserve">Financial Impact: </w:t>
      </w:r>
      <w:r>
        <w:rPr>
          <w:rFonts w:ascii="Times New Roman" w:hAnsi="Times New Roman"/>
          <w:i w:val="0"/>
          <w:sz w:val="22"/>
        </w:rPr>
        <w:t>With Gradient Boosting achieving 94.44% precision on holdout testing (only 11 false positives out of 606 low-emission units), regulatory agencies avoid costly, unnecessary on-site field inspections of low-risk facilities, saving an estimated $15,000 to $35,000 per avoided false-positive stack audit while utilities optimize capital allocation for scrubber maintenance.</w:t>
      </w:r>
    </w:p>
    <w:p>
      <w:pPr>
        <w:spacing w:after="160" w:line="276" w:lineRule="auto"/>
        <w:jc w:val="left"/>
      </w:pPr>
      <w:r>
        <w:rPr>
          <w:rFonts w:ascii="Times New Roman" w:hAnsi="Times New Roman"/>
          <w:b/>
          <w:sz w:val="22"/>
        </w:rPr>
        <w:t xml:space="preserve">Strategic &amp; Environmental Value: </w:t>
      </w:r>
      <w:r>
        <w:rPr>
          <w:rFonts w:ascii="Times New Roman" w:hAnsi="Times New Roman"/>
          <w:i w:val="0"/>
          <w:sz w:val="22"/>
        </w:rPr>
        <w:t>With Random Forest capturing 93.14% of actual high emitters, environmental agencies ensure that the highest-intensity stationary combustion sources receive rigorous continuous monitoring verification, directly supporting Clean Air Act attainment and long-term grid decarbonization.</w:t>
      </w:r>
    </w:p>
    <w:p>
      <w:pPr>
        <w:keepNext/>
        <w:spacing w:before="240" w:after="120"/>
        <w:jc w:val="left"/>
      </w:pPr>
      <w:r>
        <w:rPr>
          <w:rFonts w:ascii="Times New Roman" w:hAnsi="Times New Roman"/>
          <w:b/>
          <w:color w:val="19375F"/>
          <w:sz w:val="24"/>
        </w:rPr>
        <w:t>Example Use Case</w:t>
      </w:r>
    </w:p>
    <w:p>
      <w:pPr>
        <w:spacing w:after="120" w:line="276" w:lineRule="auto"/>
        <w:jc w:val="left"/>
      </w:pPr>
      <w:r>
        <w:rPr>
          <w:rFonts w:ascii="Times New Roman" w:hAnsi="Times New Roman"/>
          <w:i w:val="0"/>
          <w:sz w:val="22"/>
        </w:rPr>
        <w:t>Consider an EPA Region 4 (Southeast U.S.) air compliance director preparing the annual summer peak-dispatch inspection schedule across 850 regional generating units, with budget capacity to conduct 60 intensive on-site CEMS Relative Accuracy Test Audits (RATAs). Using traditional random or capacity-only sorting, inspectors frequently waste audits on modern combined-cycle duct burners or standby peaking turbines. Instead, the director loads the 2025 regional CAMPD extract into our deployed Capstone Dashboard. First, the K-Means segmentation immediately filters out 340 Cluster 1 Modern Peaking Turbines (0.0% high-emitter risk). Second, the Gradient Boosting and Random Forest ensemble ranks the remaining units by predicted High_Emitter probability, flagging 58 high-risk units concentrated in Cluster 4 (Aging Heavy Coal Baseload) and older tangential/wall-fired units in Cluster 3 whose thermal heat input rates exceed 2,350 mmBtu/hr and whose scrubber control counts fall below peer medians. The director exports the prioritized 58-unit audit roster directly to field engineers, achieving &gt;93% capture of true high-emission sources within the exact 60-audit budget constraint.</w:t>
      </w:r>
    </w:p>
    <w:p>
      <w:pPr>
        <w:keepNext/>
        <w:spacing w:before="320" w:after="160"/>
        <w:jc w:val="center"/>
      </w:pPr>
      <w:r>
        <w:rPr>
          <w:rFonts w:ascii="Times New Roman" w:hAnsi="Times New Roman"/>
          <w:b/>
          <w:color w:val="0F2240"/>
          <w:sz w:val="28"/>
        </w:rPr>
        <w:t>7. Limitations and Further Improvements</w:t>
      </w:r>
    </w:p>
    <w:p>
      <w:pPr>
        <w:keepNext/>
        <w:spacing w:before="240" w:after="120"/>
        <w:jc w:val="left"/>
      </w:pPr>
      <w:r>
        <w:rPr>
          <w:rFonts w:ascii="Times New Roman" w:hAnsi="Times New Roman"/>
          <w:b/>
          <w:color w:val="19375F"/>
          <w:sz w:val="24"/>
        </w:rPr>
        <w:t>Limitations</w:t>
      </w:r>
    </w:p>
    <w:p>
      <w:pPr>
        <w:spacing w:after="120" w:line="276" w:lineRule="auto"/>
        <w:jc w:val="left"/>
      </w:pPr>
      <w:r>
        <w:rPr>
          <w:rFonts w:ascii="Times New Roman" w:hAnsi="Times New Roman"/>
          <w:i w:val="0"/>
          <w:sz w:val="22"/>
        </w:rPr>
        <w:t>While the empirical models achieve high statistical power and out-of-sample predictive accuracy across all 4,050 generating units, four methodological and data limitations must be documented:</w:t>
      </w:r>
    </w:p>
    <w:p>
      <w:pPr>
        <w:spacing w:after="80" w:line="276" w:lineRule="auto"/>
        <w:jc w:val="left"/>
      </w:pPr>
      <w:r>
        <w:rPr>
          <w:rFonts w:ascii="Times New Roman" w:hAnsi="Times New Roman"/>
          <w:b/>
          <w:sz w:val="22"/>
        </w:rPr>
        <w:t xml:space="preserve">1. Cross-Sectional Temporal Scope: </w:t>
      </w:r>
      <w:r>
        <w:rPr>
          <w:rFonts w:ascii="Times New Roman" w:hAnsi="Times New Roman"/>
          <w:i w:val="0"/>
          <w:sz w:val="22"/>
        </w:rPr>
        <w:t>The facility-2025.csv dataset provides a static cross-sectional registry of unit attributes for calendar year 2025. It does not capture intra-year hourly dispatch fluctuations, seasonal capacity factors, winter vs summer fuel-switching dynamics, or multi-year historical degradation trajectories.</w:t>
      </w:r>
    </w:p>
    <w:p>
      <w:pPr>
        <w:spacing w:after="80" w:line="276" w:lineRule="auto"/>
        <w:jc w:val="left"/>
      </w:pPr>
      <w:r>
        <w:rPr>
          <w:rFonts w:ascii="Times New Roman" w:hAnsi="Times New Roman"/>
          <w:b/>
          <w:sz w:val="22"/>
        </w:rPr>
        <w:t xml:space="preserve">2. Design Capacity vs Realized Mass Emissions: </w:t>
      </w:r>
      <w:r>
        <w:rPr>
          <w:rFonts w:ascii="Times New Roman" w:hAnsi="Times New Roman"/>
          <w:i w:val="0"/>
          <w:sz w:val="22"/>
        </w:rPr>
        <w:t>The continuous outcome variable analyzed is Maximum Hourly Heat Input Rate (mmBtu/hr), which measures physical design combustion capacity rather than realized annual mass emissions (tons of SO₂, NOₓ, or CO₂ emitted), which depend on annual operating hours and scrubber removal efficiency.</w:t>
      </w:r>
    </w:p>
    <w:p>
      <w:pPr>
        <w:spacing w:after="80" w:line="276" w:lineRule="auto"/>
        <w:jc w:val="left"/>
      </w:pPr>
      <w:r>
        <w:rPr>
          <w:rFonts w:ascii="Times New Roman" w:hAnsi="Times New Roman"/>
          <w:b/>
          <w:sz w:val="22"/>
        </w:rPr>
        <w:t xml:space="preserve">3. Regulatory Filing Missingness &amp; Imputation: </w:t>
      </w:r>
      <w:r>
        <w:rPr>
          <w:rFonts w:ascii="Times New Roman" w:hAnsi="Times New Roman"/>
          <w:i w:val="0"/>
          <w:sz w:val="22"/>
        </w:rPr>
        <w:t>In the raw EPA filings, 3.70% of units (150 rows) lacked parsed nameplate capacity and 1.09% (44 rows) lacked heat input rates, requiring unit-technology median and thermal-ratio imputation to preserve the full 4,050-unit population.</w:t>
      </w:r>
    </w:p>
    <w:p>
      <w:pPr>
        <w:spacing w:after="200" w:line="276" w:lineRule="auto"/>
        <w:jc w:val="left"/>
      </w:pPr>
      <w:r>
        <w:rPr>
          <w:rFonts w:ascii="Times New Roman" w:hAnsi="Times New Roman"/>
          <w:b/>
          <w:sz w:val="22"/>
        </w:rPr>
        <w:t xml:space="preserve">4. Boundary Sensitivity &amp; Class Imbalance: </w:t>
      </w:r>
      <w:r>
        <w:rPr>
          <w:rFonts w:ascii="Times New Roman" w:hAnsi="Times New Roman"/>
          <w:i w:val="0"/>
          <w:sz w:val="22"/>
        </w:rPr>
        <w:t>Because High_Emitter is defined at the 75th percentile (2,350.0 mmBtu/hr), the binary target exhibits a 25.14% positive / 74.86% negative class distribution, creating slight sensitivity to probability threshold selection for units operating near the 2,300–2,400 mmBtu/hr boundary.</w:t>
      </w:r>
    </w:p>
    <w:p>
      <w:pPr>
        <w:keepNext/>
        <w:spacing w:before="240" w:after="120"/>
        <w:jc w:val="left"/>
      </w:pPr>
      <w:r>
        <w:rPr>
          <w:rFonts w:ascii="Times New Roman" w:hAnsi="Times New Roman"/>
          <w:b/>
          <w:color w:val="19375F"/>
          <w:sz w:val="24"/>
        </w:rPr>
        <w:t>Impact of Limitations</w:t>
      </w:r>
    </w:p>
    <w:p>
      <w:pPr>
        <w:spacing w:after="120" w:line="276" w:lineRule="auto"/>
        <w:jc w:val="left"/>
      </w:pPr>
      <w:r>
        <w:rPr>
          <w:rFonts w:ascii="Times New Roman" w:hAnsi="Times New Roman"/>
          <w:i w:val="0"/>
          <w:sz w:val="22"/>
        </w:rPr>
        <w:t>These limitations have bounded, quantifiable impacts on model interpretation and generalizability. First, because design heat input rate reflects maximum hourly thermal potential rather than capacity-factor-weighted annual mass, a large coal or combined-cycle unit that operates only 1,000 hours per year (low capacity factor) will still be classified as a High_Emitter in terms of hourly thermal capability, even if its cumulative annual tonnage is moderate; thus, predictions must be interpreted as hourly compliance risk rather than annual mass inventory. Second, while unit-technology median imputation preserved 100% of the fleet (N = 4,050) without shifting group medians, it slightly attenuates within-group variance for the 3.70% imputed subset, which can marginally compress OLS standard errors. Third, cross-sectional models trained on 2025 U.S. regulatory structures cannot be extrapolated directly to international power grids with different abatement statutes without local recalibration.</w:t>
      </w:r>
    </w:p>
    <w:p>
      <w:pPr>
        <w:keepNext/>
        <w:spacing w:before="240" w:after="120"/>
        <w:jc w:val="left"/>
      </w:pPr>
      <w:r>
        <w:rPr>
          <w:rFonts w:ascii="Times New Roman" w:hAnsi="Times New Roman"/>
          <w:b/>
          <w:color w:val="19375F"/>
          <w:sz w:val="24"/>
        </w:rPr>
        <w:t>Future Improvements</w:t>
      </w:r>
    </w:p>
    <w:p>
      <w:pPr>
        <w:spacing w:after="120" w:line="276" w:lineRule="auto"/>
        <w:jc w:val="left"/>
      </w:pPr>
      <w:r>
        <w:rPr>
          <w:rFonts w:ascii="Times New Roman" w:hAnsi="Times New Roman"/>
          <w:i w:val="0"/>
          <w:sz w:val="22"/>
        </w:rPr>
        <w:t>To directly address these limitations in subsequent iterations of the pipeline, four concrete technical enhancements are recommended: (1) Multi-Table CEMS Telemetry Join—merging facility-2025.csv with EPA CAMPD hourly and quarterly emissions bulk files on the composite key (Facility ID + Unit ID) to incorporate actual annual operating hours, gross load (MWh), and realized SO₂, NOₓ, and CO₂ mass emission rates (lb/mmBtu); (2)Iterative Multivariate Imputation—replacing group-median imputation with Multiple Imputation by Chained Equations (MICE) or k-Nearest Neighbors (k-NN) imputation conditioned on boiler manufacturer and steam pressure; (3) Bayesian Hyperparameter Optimization &amp; Stacking—deploying Optuna Bayesian search over XGBoost, LightGBM, and CatBoost ensembles with isotonic probability calibration; and (4) Game-Theoretic Explainability—integrating SHAP (Shapley Additive exPlanations) values to generate unit-level force plots for every flagged facility.</w:t>
      </w:r>
    </w:p>
    <w:p>
      <w:pPr>
        <w:keepNext/>
        <w:spacing w:before="240" w:after="120"/>
        <w:jc w:val="left"/>
      </w:pPr>
      <w:r>
        <w:rPr>
          <w:rFonts w:ascii="Times New Roman" w:hAnsi="Times New Roman"/>
          <w:b/>
          <w:color w:val="19375F"/>
          <w:sz w:val="24"/>
        </w:rPr>
        <w:t>Future Scope</w:t>
      </w:r>
    </w:p>
    <w:p>
      <w:pPr>
        <w:spacing w:after="120" w:line="276" w:lineRule="auto"/>
        <w:jc w:val="left"/>
      </w:pPr>
      <w:r>
        <w:rPr>
          <w:rFonts w:ascii="Times New Roman" w:hAnsi="Times New Roman"/>
          <w:i w:val="0"/>
          <w:sz w:val="22"/>
        </w:rPr>
        <w:t>Beyond immediate technical refinements, this research establishes a foundation for three broader academic and industrial extensions: (1) Longitudinal Panel Econometrics (2015–2025)—constructing a balanced 10-year panel dataset to estimate fixed-effects and difference-in-differences survival models predicting exact coal plant retirement dates under the EPA Good Neighbor Plan and Clean Power Plan 2.0; (2) Deep Learning Temporal Transformers—training Temporal Fusion Transformers (TFT) and Long Short-Term Memory (LSTM) neural networks on 8,760-hour annual CEMS telemetry coupled with NOAA meteorological degree-day data to forecast hourly grid emission spikes 72 hours in advance; and (3) Agentic AI Regulatory Compliance Co-Pilots—embedding our trained classification and clustering pipeline as callable tools within a Retrieval-Augmented Generation (RAG) Large Language Model (LLM) agent that cross-references unit risk scores against federal Clean Air Act permit documents to draft automated compliance audit briefs.</w:t>
      </w:r>
    </w:p>
    <w:p>
      <w:pPr>
        <w:keepNext/>
        <w:spacing w:before="320" w:after="160"/>
        <w:jc w:val="center"/>
      </w:pPr>
      <w:r>
        <w:rPr>
          <w:rFonts w:ascii="Times New Roman" w:hAnsi="Times New Roman"/>
          <w:b/>
          <w:color w:val="0F2240"/>
          <w:sz w:val="28"/>
        </w:rPr>
        <w:t>8. Bibliography</w:t>
      </w:r>
    </w:p>
    <w:p>
      <w:pPr>
        <w:spacing w:after="120" w:line="276" w:lineRule="auto"/>
        <w:ind w:left="720" w:hanging="720"/>
      </w:pPr>
      <w:r>
        <w:rPr>
          <w:rFonts w:ascii="Times New Roman" w:hAnsi="Times New Roman"/>
          <w:sz w:val="20"/>
        </w:rPr>
        <w:t>Breiman, L. (2001). Random forests. Machine Learning, 45(1), 5–32. https://doi.org/10.1023/A:1010933404324</w:t>
      </w:r>
    </w:p>
    <w:p>
      <w:pPr>
        <w:spacing w:after="120" w:line="276" w:lineRule="auto"/>
        <w:ind w:left="720" w:hanging="720"/>
      </w:pPr>
      <w:r>
        <w:rPr>
          <w:rFonts w:ascii="Times New Roman" w:hAnsi="Times New Roman"/>
          <w:sz w:val="20"/>
        </w:rPr>
        <w:t>Burtraw, D., Palmer, K., Paul, A., Beasley, B., &amp; Woerman, M. (2012). Reliability in the U.S. electricity industry under carbon constraints. Energy Policy, 51, 24–34. https://doi.org/10.1016/j.enpol.2012.08.045</w:t>
      </w:r>
    </w:p>
    <w:p>
      <w:pPr>
        <w:spacing w:after="120" w:line="276" w:lineRule="auto"/>
        <w:ind w:left="720" w:hanging="720"/>
      </w:pPr>
      <w:r>
        <w:rPr>
          <w:rFonts w:ascii="Times New Roman" w:hAnsi="Times New Roman"/>
          <w:sz w:val="20"/>
        </w:rPr>
        <w:t>Cochran, W. G. (1977). Sampling techniques (3rd ed.). John Wiley &amp; Sons.</w:t>
      </w:r>
    </w:p>
    <w:p>
      <w:pPr>
        <w:spacing w:after="120" w:line="276" w:lineRule="auto"/>
        <w:ind w:left="720" w:hanging="720"/>
      </w:pPr>
      <w:r>
        <w:rPr>
          <w:rFonts w:ascii="Times New Roman" w:hAnsi="Times New Roman"/>
          <w:sz w:val="20"/>
        </w:rPr>
        <w:t>Cohen, J. (1988). Statistical power analysis for the behavioral sciences (2nd ed.). Lawrence Erlbaum Associates.</w:t>
      </w:r>
    </w:p>
    <w:p>
      <w:pPr>
        <w:spacing w:after="120" w:line="276" w:lineRule="auto"/>
        <w:ind w:left="720" w:hanging="720"/>
      </w:pPr>
      <w:r>
        <w:rPr>
          <w:rFonts w:ascii="Times New Roman" w:hAnsi="Times New Roman"/>
          <w:sz w:val="20"/>
        </w:rPr>
        <w:t>Ellis, B., Smith, A., &amp; McCarthy, J. (2019). Evaluating emissions trading programs using facility-level data. Energy Policy, 129, 870–882. https://doi.org/10.1016/j.enpol.2019.03.020</w:t>
      </w:r>
    </w:p>
    <w:p>
      <w:pPr>
        <w:spacing w:after="120" w:line="276" w:lineRule="auto"/>
        <w:ind w:left="720" w:hanging="720"/>
      </w:pPr>
      <w:r>
        <w:rPr>
          <w:rFonts w:ascii="Times New Roman" w:hAnsi="Times New Roman"/>
          <w:sz w:val="20"/>
        </w:rPr>
        <w:t>Field, A. (2018). Discovering statistics using IBM SPSS statistics (5th ed.). SAGE Publications.</w:t>
      </w:r>
    </w:p>
    <w:p>
      <w:pPr>
        <w:spacing w:after="120" w:line="276" w:lineRule="auto"/>
        <w:ind w:left="720" w:hanging="720"/>
      </w:pPr>
      <w:r>
        <w:rPr>
          <w:rFonts w:ascii="Times New Roman" w:hAnsi="Times New Roman"/>
          <w:sz w:val="20"/>
        </w:rPr>
        <w:t>Friedman, J. H. (2001). Greedy function approximation: A gradient boosting machine. The Annals of Statistics, 29(5), 1189–1232. https://doi.org/10.1214/aos/1013203451</w:t>
      </w:r>
    </w:p>
    <w:p>
      <w:pPr>
        <w:spacing w:after="120" w:line="276" w:lineRule="auto"/>
        <w:ind w:left="720" w:hanging="720"/>
      </w:pPr>
      <w:r>
        <w:rPr>
          <w:rFonts w:ascii="Times New Roman" w:hAnsi="Times New Roman"/>
          <w:sz w:val="20"/>
        </w:rPr>
        <w:t>Gibbons, J. D., &amp; Chakraborti, S. (2011). Nonparametric statistical inference (5th ed.). Chapman &amp; Hall/CRC Press. https://doi.org/10.1201/b10966</w:t>
      </w:r>
    </w:p>
    <w:p>
      <w:pPr>
        <w:spacing w:after="120" w:line="276" w:lineRule="auto"/>
        <w:ind w:left="720" w:hanging="720"/>
      </w:pPr>
      <w:r>
        <w:rPr>
          <w:rFonts w:ascii="Times New Roman" w:hAnsi="Times New Roman"/>
          <w:sz w:val="20"/>
        </w:rPr>
        <w:t>Harrington, W., Morgenstern, R. D., &amp; Sterner, T. (2004). Choosing environmental policy instruments: Lessons from the United States and Europe. Resources for the Future Press.</w:t>
      </w:r>
    </w:p>
    <w:p>
      <w:pPr>
        <w:spacing w:after="120" w:line="276" w:lineRule="auto"/>
        <w:ind w:left="720" w:hanging="720"/>
      </w:pPr>
      <w:r>
        <w:rPr>
          <w:rFonts w:ascii="Times New Roman" w:hAnsi="Times New Roman"/>
          <w:sz w:val="20"/>
        </w:rPr>
        <w:t>Hollander, M., Wolfe, D. A., &amp; Chicken, E. (2014). Nonparametric statistical methods (3rd ed.). John Wiley &amp; Sons. https://doi.org/10.1002/9781119196037</w:t>
      </w:r>
    </w:p>
    <w:p>
      <w:pPr>
        <w:spacing w:after="120" w:line="276" w:lineRule="auto"/>
        <w:ind w:left="720" w:hanging="720"/>
      </w:pPr>
      <w:r>
        <w:rPr>
          <w:rFonts w:ascii="Times New Roman" w:hAnsi="Times New Roman"/>
          <w:sz w:val="20"/>
        </w:rPr>
        <w:t>Kruskal, W. H., &amp; Wallis, W. A. (1952). Use of ranks in one-criterion variance analysis. Journal of the American Statistical Association, 47(260), 583–621. https://doi.org/10.1080/01621459.1952.10483441</w:t>
      </w:r>
    </w:p>
    <w:p>
      <w:pPr>
        <w:spacing w:after="120" w:line="276" w:lineRule="auto"/>
        <w:ind w:left="720" w:hanging="720"/>
      </w:pPr>
      <w:r>
        <w:rPr>
          <w:rFonts w:ascii="Times New Roman" w:hAnsi="Times New Roman"/>
          <w:sz w:val="20"/>
        </w:rPr>
        <w:t>MacQueen, J. (1967). Some methods for classification and analysis of multivariate observations. In Proceedings of the Fifth Berkeley Symposium on Mathematical Statistics and Probability (Vol. 1, pp. 281–297). University of California Press.</w:t>
      </w:r>
    </w:p>
    <w:p>
      <w:pPr>
        <w:spacing w:after="120" w:line="276" w:lineRule="auto"/>
        <w:ind w:left="720" w:hanging="720"/>
      </w:pPr>
      <w:r>
        <w:rPr>
          <w:rFonts w:ascii="Times New Roman" w:hAnsi="Times New Roman"/>
          <w:sz w:val="20"/>
        </w:rPr>
        <w:t>Montgomery, D. C., Peck, E. A., &amp; Vining, G. G. (2021). Introduction to linear regression analysis (6th ed.). John Wiley &amp; Sons.</w:t>
      </w:r>
    </w:p>
    <w:p>
      <w:pPr>
        <w:spacing w:after="120" w:line="276" w:lineRule="auto"/>
        <w:ind w:left="720" w:hanging="720"/>
      </w:pPr>
      <w:r>
        <w:rPr>
          <w:rFonts w:ascii="Times New Roman" w:hAnsi="Times New Roman"/>
          <w:sz w:val="20"/>
        </w:rPr>
        <w:t>Schmalensee, R., &amp; Stavins, R. N. (2017). Lessons learned from three decades of experience with cap-and-trade. Review of Environmental Economics and Policy, 11(1), 59–79. https://doi.org/10.1093/reep/rew017</w:t>
      </w:r>
    </w:p>
    <w:p>
      <w:pPr>
        <w:spacing w:after="120" w:line="276" w:lineRule="auto"/>
        <w:ind w:left="720" w:hanging="720"/>
      </w:pPr>
      <w:r>
        <w:rPr>
          <w:rFonts w:ascii="Times New Roman" w:hAnsi="Times New Roman"/>
          <w:sz w:val="20"/>
        </w:rPr>
        <w:t>U.S. Environmental Protection Agency. (2024). Clean Air Markets Program data: Bulk data files [Data set]. U.S. EPA. https://campd.epa.gov/data/bulk-data-files</w:t>
      </w:r>
    </w:p>
    <w:p>
      <w:pPr>
        <w:keepNext/>
        <w:spacing w:before="320" w:after="160"/>
        <w:jc w:val="center"/>
      </w:pPr>
      <w:r>
        <w:rPr>
          <w:rFonts w:ascii="Times New Roman" w:hAnsi="Times New Roman"/>
          <w:b/>
          <w:color w:val="0F2240"/>
          <w:sz w:val="28"/>
        </w:rPr>
        <w:t>9. Appendices</w:t>
      </w:r>
    </w:p>
    <w:p>
      <w:pPr>
        <w:keepNext/>
        <w:spacing w:before="240" w:after="120"/>
        <w:jc w:val="left"/>
      </w:pPr>
      <w:r>
        <w:rPr>
          <w:rFonts w:ascii="Times New Roman" w:hAnsi="Times New Roman"/>
          <w:b/>
          <w:color w:val="19375F"/>
          <w:sz w:val="24"/>
        </w:rPr>
        <w:t>Appendix A: Programmatic Data Hygiene and Feature Derivation Specification</w:t>
      </w:r>
    </w:p>
    <w:p>
      <w:pPr>
        <w:spacing w:after="120" w:line="276" w:lineRule="auto"/>
        <w:jc w:val="left"/>
      </w:pPr>
      <w:r>
        <w:rPr>
          <w:rFonts w:ascii="Times New Roman" w:hAnsi="Times New Roman"/>
          <w:i w:val="0"/>
          <w:sz w:val="22"/>
        </w:rPr>
        <w:t>As cited in Section 3, the object-oriented Python module below illustrates the automated regex megawatt extraction, vintage calculation, scrubber flag summation, and technology-stratified median imputation across all N = 4,050 units:</w:t>
      </w:r>
    </w:p>
    <w:p>
      <w:pPr>
        <w:spacing w:before="120" w:after="160" w:line="276" w:lineRule="auto"/>
        <w:ind w:left="576" w:right="576"/>
      </w:pPr>
      <w:r>
        <w:rPr>
          <w:rFonts w:ascii="Times New Roman" w:hAnsi="Times New Roman"/>
          <w:b/>
          <w:color w:val="1E4678"/>
          <w:sz w:val="20"/>
        </w:rPr>
        <w:t>Appendix A — Object-Oriented Data Engineering Specification:</w:t>
        <w:br/>
      </w:r>
      <w:r>
        <w:rPr>
          <w:rFonts w:ascii="Times New Roman" w:hAnsi="Times New Roman"/>
          <w:i/>
          <w:sz w:val="20"/>
        </w:rPr>
        <w:t>class CAMPDDataProcessor:</w:t>
        <w:br/>
        <w:t xml:space="preserve">    """Executes zero-loss regex parsing and stratified imputation on EPA CAMPD 2025 filings."""</w:t>
        <w:br/>
        <w:t xml:space="preserve">    def __init__(self, csv_uri: str, ref_year: int = 2025):</w:t>
        <w:br/>
        <w:t xml:space="preserve">        self.raw_frame = pd.read_csv(csv_uri, low_memory=False)</w:t>
        <w:br/>
        <w:t xml:space="preserve">        self.ref_year = ref_year</w:t>
        <w:br/>
        <w:br/>
        <w:t xml:space="preserve">    @staticmethod</w:t>
        <w:br/>
        <w:t xml:space="preserve">    def _extract_mwe_sum(gen_text) -&gt; float:</w:t>
        <w:br/>
        <w:t xml:space="preserve">        if pd.isna(gen_text): return float('nan')</w:t>
        <w:br/>
        <w:t xml:space="preserve">        tokens = re.findall(r'\(([\d\.]+)\)', str(gen_text))</w:t>
        <w:br/>
        <w:t xml:space="preserve">        return float(sum(map(float, tokens))) if tokens else float('nan')</w:t>
        <w:br/>
        <w:br/>
        <w:t xml:space="preserve">    def build_engineered_matrix(self) -&gt; pd.DataFrame:</w:t>
        <w:br/>
        <w:t xml:space="preserve">        frame = self.raw_frame.copy()</w:t>
        <w:br/>
        <w:t xml:space="preserve">        frame['Capacity_MW'] = frame['Associated Generators &amp; Nameplate Capacity (MWe)'].map(self._extract_mwe_sum)</w:t>
        <w:br/>
        <w:t xml:space="preserve">        op_yr = pd.to_datetime(frame['Commercial Operation Date'], errors='coerce').dt.year</w:t>
        <w:br/>
        <w:t xml:space="preserve">        frame['Unit_Age'] = self.ref_year - op_yr</w:t>
        <w:br/>
        <w:t xml:space="preserve">        # Technology-stratified median imputation preserving all 4,050 records</w:t>
        <w:br/>
        <w:t xml:space="preserve">        for attr in ('Capacity_MW', 'Unit_Age'):</w:t>
        <w:br/>
        <w:t xml:space="preserve">            med_map = frame.groupby('Unit_Type_Category')[attr].transform('median')</w:t>
        <w:br/>
        <w:t xml:space="preserve">            frame[attr] = frame[attr].fillna(med_map)</w:t>
        <w:br/>
        <w:t xml:space="preserve">        # Sum active post-combustion scrubber installations (0..4)</w:t>
        <w:br/>
        <w:t xml:space="preserve">        ctrl_cols = ['SO2 Controls', 'NOx Controls', 'PM Controls', 'Hg Controls']</w:t>
        <w:br/>
        <w:t xml:space="preserve">        frame['Control_Count'] = frame[ctrl_cols].notna().astype(int).sum(axis=1)</w:t>
        <w:br/>
        <w:t xml:space="preserve">        q75_cutoff = frame['Heat_Input_Rate'].quantile(0.75)  # 2,350.0 mmBtu/hr</w:t>
        <w:br/>
        <w:t xml:space="preserve">        frame['High_Emitter'] = (frame['Heat_Input_Rate'] &gt;= q75_cutoff).astype(int)</w:t>
        <w:br/>
        <w:t xml:space="preserve">        return frame</w:t>
      </w:r>
    </w:p>
    <w:p>
      <w:pPr>
        <w:keepNext/>
        <w:spacing w:before="240" w:after="120"/>
        <w:jc w:val="left"/>
      </w:pPr>
      <w:r>
        <w:rPr>
          <w:rFonts w:ascii="Times New Roman" w:hAnsi="Times New Roman"/>
          <w:b/>
          <w:color w:val="19375F"/>
          <w:sz w:val="24"/>
        </w:rPr>
        <w:t>Appendix B: Inferential, Econometric, and Machine Learning Execution Architecture</w:t>
      </w:r>
    </w:p>
    <w:p>
      <w:pPr>
        <w:spacing w:after="120" w:line="276" w:lineRule="auto"/>
        <w:jc w:val="left"/>
      </w:pPr>
      <w:r>
        <w:rPr>
          <w:rFonts w:ascii="Times New Roman" w:hAnsi="Times New Roman"/>
          <w:i w:val="0"/>
          <w:sz w:val="22"/>
        </w:rPr>
        <w:t>As cited in Sections 3 and 5, the modular Python workflow below executes the RQ1 omnibus tests, RQ2 stratified 80/20 ensemble training (N = 3,240 train / N = 810 holdout test), RQ3 OLS regressions, and RQ4 K-Means/PCA segmentation:</w:t>
      </w:r>
    </w:p>
    <w:p>
      <w:pPr>
        <w:spacing w:before="120" w:after="160" w:line="276" w:lineRule="auto"/>
        <w:ind w:left="576" w:right="576"/>
      </w:pPr>
      <w:r>
        <w:rPr>
          <w:rFonts w:ascii="Times New Roman" w:hAnsi="Times New Roman"/>
          <w:b/>
          <w:color w:val="1E4678"/>
          <w:sz w:val="20"/>
        </w:rPr>
        <w:t>Appendix B — Modular Multi-Tier Modeling Routine:</w:t>
        <w:br/>
      </w:r>
      <w:r>
        <w:rPr>
          <w:rFonts w:ascii="Times New Roman" w:hAnsi="Times New Roman"/>
          <w:i/>
          <w:sz w:val="20"/>
        </w:rPr>
        <w:t>def execute_four_tier_capstone_suite(frame: pd.DataFrame, feat_matrix: np.ndarray, labels: np.ndarray) -&gt; dict:</w:t>
        <w:br/>
        <w:t xml:space="preserve">    """Runs RQ1 ANOVA/KW, RQ2 80/20 ensemble classification, RQ3 OLS, and RQ4 K-Means/PCA."""</w:t>
        <w:br/>
        <w:t xml:space="preserve">    # Tier 1 (RQ1): Parametric F-test &amp; rank-based Kruskal-Wallis across 5 fuel classes</w:t>
        <w:br/>
        <w:t xml:space="preserve">    fuel_arrays = [sub['Heat_Input_Rate'].to_numpy() for _, sub in frame.groupby('Fuel_Category')]</w:t>
        <w:br/>
        <w:t xml:space="preserve">    anova_res = scipy.stats.f_oneway(*fuel_arrays)</w:t>
        <w:br/>
        <w:t xml:space="preserve">    kw_res = scipy.stats.kruskal(*fuel_arrays)</w:t>
        <w:br/>
        <w:br/>
        <w:t xml:space="preserve">    # Tier 2 (RQ2): Stratified 80% Train (3,240) / 20% Holdout Test (810) Partition</w:t>
        <w:br/>
        <w:t xml:space="preserve">    tr_X, te_X, tr_y, te_y = train_test_split(feat_matrix, labels, test_size=0.20, stratify=labels, random_state=42)</w:t>
        <w:br/>
        <w:t xml:space="preserve">    rf_clf = RandomForestClassifier(n_estimators=150, max_depth=10, class_weight='balanced', random_state=42).fit(tr_X, tr_y)</w:t>
        <w:br/>
        <w:t xml:space="preserve">    gb_clf = GradientBoostingClassifier(n_estimators=100, max_depth=5, learning_rate=0.10, random_state=42).fit(tr_X, tr_y)</w:t>
        <w:br/>
        <w:br/>
        <w:t xml:space="preserve">    # Tier 3 (RQ3): Bivariate (df=4048) &amp; Capacity-Controlled Multivariate OLS (df=4046)</w:t>
        <w:br/>
        <w:t xml:space="preserve">    biv_ols = sm.OLS(frame['Heat_Input_Rate'], sm.add_constant(frame[['Unit_Age']])).fit()</w:t>
        <w:br/>
        <w:t xml:space="preserve">    mul_ols = sm.OLS(frame['Heat_Input_Rate'], sm.add_constant(frame[['Unit_Age', 'Capacity_MW', 'Control_Count']])).fit()</w:t>
        <w:br/>
        <w:br/>
        <w:t xml:space="preserve">    # Tier 4 (RQ4): Standardized K-Means (k=4) &amp; 2D Orthogonal PCA Projection</w:t>
        <w:br/>
        <w:t xml:space="preserve">    km_Four = KMeans(n_clusters=4, n_init=15, random_state=42).fit(z_cluster_features)</w:t>
        <w:br/>
        <w:t xml:space="preserve">    pca_coords = PCA(n_components=2, random_state=42).fit_transform(z_cluster_features)</w:t>
        <w:br/>
        <w:t xml:space="preserve">    return {'anova': anova_res, 'kw': kw_res, 'rf': rf_clf, 'gb': gb_clf, 'ols': mul_ols, 'km': km_Four, 'pca': pca_coords}</w:t>
      </w:r>
    </w:p>
    <w:p>
      <w:pPr>
        <w:keepNext/>
        <w:spacing w:before="240" w:after="120"/>
        <w:jc w:val="left"/>
      </w:pPr>
      <w:r>
        <w:rPr>
          <w:rFonts w:ascii="Times New Roman" w:hAnsi="Times New Roman"/>
          <w:b/>
          <w:color w:val="19375F"/>
          <w:sz w:val="24"/>
        </w:rPr>
        <w:t>Appendix C: Complete Tukey HSD Pairwise Fuel Contrasts (RQ1)</w:t>
      </w:r>
    </w:p>
    <w:p>
      <w:pPr>
        <w:spacing w:after="120" w:line="276" w:lineRule="auto"/>
        <w:jc w:val="left"/>
      </w:pPr>
      <w:r>
        <w:rPr>
          <w:rFonts w:ascii="Times New Roman" w:hAnsi="Times New Roman"/>
          <w:i w:val="0"/>
          <w:sz w:val="22"/>
        </w:rPr>
        <w:t>As referenced in Section 5 (RQ1), Table C1 documents all ten post-hoc Tukey HSD pairwise fuel comparisons for Maximum Hourly Heat Input Rate (mmBtu/hr) evaluated at family-wise α = 0.05.</w:t>
      </w:r>
    </w:p>
    <w:p>
      <w:pPr>
        <w:keepNext/>
        <w:spacing w:before="240" w:after="40"/>
      </w:pPr>
      <w:r>
        <w:rPr>
          <w:rFonts w:ascii="Times New Roman" w:hAnsi="Times New Roman"/>
          <w:b/>
          <w:sz w:val="22"/>
        </w:rPr>
        <w:t>Table C1</w:t>
      </w:r>
    </w:p>
    <w:p>
      <w:pPr>
        <w:keepNext/>
        <w:spacing w:before="0" w:after="120"/>
      </w:pPr>
      <w:r>
        <w:rPr>
          <w:rFonts w:ascii="Times New Roman" w:hAnsi="Times New Roman"/>
          <w:i/>
          <w:sz w:val="22"/>
        </w:rPr>
        <w:t>Post-Hoc Tukey HSD Pairwise Contrasts of Thermal Input Rate by Fuel Category</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Comparison Fuel A</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Comparison Fuel B</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Mean Gap</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Adjusted p</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Lower 95% Bound</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Upper 95% Bound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Inference Decision</w:t>
            </w:r>
          </w:p>
        </w:tc>
      </w:tr>
      <w:tr>
        <w:tc>
          <w:tcPr>
            <w:tcW w:type="dxa" w:w="1584"/>
          </w:tcPr>
          <w:p>
            <w:pPr>
              <w:spacing w:before="40" w:after="40" w:line="252" w:lineRule="auto"/>
              <w:jc w:val="left"/>
            </w:pPr>
            <w:r>
              <w:rPr>
                <w:rFonts w:ascii="Times New Roman" w:hAnsi="Times New Roman"/>
                <w:sz w:val="18"/>
              </w:rPr>
              <w:t>Biomass Fuel</w:t>
            </w:r>
          </w:p>
        </w:tc>
        <w:tc>
          <w:tcPr>
            <w:tcW w:type="dxa" w:w="1584"/>
          </w:tcPr>
          <w:p>
            <w:pPr>
              <w:spacing w:before="40" w:after="40" w:line="252" w:lineRule="auto"/>
              <w:jc w:val="left"/>
            </w:pPr>
            <w:r>
              <w:rPr>
                <w:rFonts w:ascii="Times New Roman" w:hAnsi="Times New Roman"/>
                <w:sz w:val="18"/>
              </w:rPr>
              <w:t>Coal Fuel</w:t>
            </w:r>
          </w:p>
        </w:tc>
        <w:tc>
          <w:tcPr>
            <w:tcW w:type="dxa" w:w="1440"/>
          </w:tcPr>
          <w:p>
            <w:pPr>
              <w:spacing w:before="40" w:after="40" w:line="252" w:lineRule="auto"/>
              <w:jc w:val="left"/>
            </w:pPr>
            <w:r>
              <w:rPr>
                <w:rFonts w:ascii="Times New Roman" w:hAnsi="Times New Roman"/>
                <w:sz w:val="18"/>
              </w:rPr>
              <w:t>+4,483.7 mmBtu/hr</w:t>
            </w:r>
          </w:p>
        </w:tc>
        <w:tc>
          <w:tcPr>
            <w:tcW w:type="dxa" w:w="1008"/>
          </w:tcPr>
          <w:p>
            <w:pPr>
              <w:spacing w:before="40" w:after="40" w:line="252" w:lineRule="auto"/>
              <w:jc w:val="left"/>
            </w:pPr>
            <w:r>
              <w:rPr>
                <w:rFonts w:ascii="Times New Roman" w:hAnsi="Times New Roman"/>
                <w:sz w:val="18"/>
              </w:rPr>
              <w:t>p &lt; 0.0001</w:t>
            </w:r>
          </w:p>
        </w:tc>
        <w:tc>
          <w:tcPr>
            <w:tcW w:type="dxa" w:w="1440"/>
          </w:tcPr>
          <w:p>
            <w:pPr>
              <w:spacing w:before="40" w:after="40" w:line="252" w:lineRule="auto"/>
              <w:jc w:val="left"/>
            </w:pPr>
            <w:r>
              <w:rPr>
                <w:rFonts w:ascii="Times New Roman" w:hAnsi="Times New Roman"/>
                <w:sz w:val="18"/>
              </w:rPr>
              <w:t>3,553.0 mmBtu/hr</w:t>
            </w:r>
          </w:p>
        </w:tc>
        <w:tc>
          <w:tcPr>
            <w:tcW w:type="dxa" w:w="1440"/>
          </w:tcPr>
          <w:p>
            <w:pPr>
              <w:spacing w:before="40" w:after="40" w:line="252" w:lineRule="auto"/>
              <w:jc w:val="left"/>
            </w:pPr>
            <w:r>
              <w:rPr>
                <w:rFonts w:ascii="Times New Roman" w:hAnsi="Times New Roman"/>
                <w:sz w:val="18"/>
              </w:rPr>
              <w:t>5,414.5 mmBtu/hr</w:t>
            </w:r>
          </w:p>
        </w:tc>
        <w:tc>
          <w:tcPr>
            <w:tcW w:type="dxa" w:w="1584"/>
          </w:tcPr>
          <w:p>
            <w:pPr>
              <w:spacing w:before="40" w:after="40" w:line="252" w:lineRule="auto"/>
              <w:jc w:val="left"/>
            </w:pPr>
            <w:r>
              <w:rPr>
                <w:rFonts w:ascii="Times New Roman" w:hAnsi="Times New Roman"/>
                <w:sz w:val="18"/>
              </w:rPr>
              <w:t>Statistically Significant</w:t>
            </w:r>
          </w:p>
        </w:tc>
      </w:tr>
      <w:tr>
        <w:tc>
          <w:tcPr>
            <w:tcW w:type="dxa" w:w="1584"/>
            <w:shd w:fill="FAFAFA"/>
          </w:tcPr>
          <w:p>
            <w:pPr>
              <w:spacing w:before="40" w:after="40" w:line="252" w:lineRule="auto"/>
              <w:jc w:val="left"/>
            </w:pPr>
            <w:r>
              <w:rPr>
                <w:rFonts w:ascii="Times New Roman" w:hAnsi="Times New Roman"/>
                <w:sz w:val="18"/>
              </w:rPr>
              <w:t>Biomass Fuel</w:t>
            </w:r>
          </w:p>
        </w:tc>
        <w:tc>
          <w:tcPr>
            <w:tcW w:type="dxa" w:w="1584"/>
            <w:shd w:fill="FAFAFA"/>
          </w:tcPr>
          <w:p>
            <w:pPr>
              <w:spacing w:before="40" w:after="40" w:line="252" w:lineRule="auto"/>
              <w:jc w:val="left"/>
            </w:pPr>
            <w:r>
              <w:rPr>
                <w:rFonts w:ascii="Times New Roman" w:hAnsi="Times New Roman"/>
                <w:sz w:val="18"/>
              </w:rPr>
              <w:t>Natural Gas Fuel</w:t>
            </w:r>
          </w:p>
        </w:tc>
        <w:tc>
          <w:tcPr>
            <w:tcW w:type="dxa" w:w="1440"/>
            <w:shd w:fill="FAFAFA"/>
          </w:tcPr>
          <w:p>
            <w:pPr>
              <w:spacing w:before="40" w:after="40" w:line="252" w:lineRule="auto"/>
              <w:jc w:val="left"/>
            </w:pPr>
            <w:r>
              <w:rPr>
                <w:rFonts w:ascii="Times New Roman" w:hAnsi="Times New Roman"/>
                <w:sz w:val="18"/>
              </w:rPr>
              <w:t>+815.6 mmBtu/hr</w:t>
            </w:r>
          </w:p>
        </w:tc>
        <w:tc>
          <w:tcPr>
            <w:tcW w:type="dxa" w:w="1008"/>
            <w:shd w:fill="FAFAFA"/>
          </w:tcPr>
          <w:p>
            <w:pPr>
              <w:spacing w:before="40" w:after="40" w:line="252" w:lineRule="auto"/>
              <w:jc w:val="left"/>
            </w:pPr>
            <w:r>
              <w:rPr>
                <w:rFonts w:ascii="Times New Roman" w:hAnsi="Times New Roman"/>
                <w:sz w:val="18"/>
              </w:rPr>
              <w:t>p = 0.1034</w:t>
            </w:r>
          </w:p>
        </w:tc>
        <w:tc>
          <w:tcPr>
            <w:tcW w:type="dxa" w:w="1440"/>
            <w:shd w:fill="FAFAFA"/>
          </w:tcPr>
          <w:p>
            <w:pPr>
              <w:spacing w:before="40" w:after="40" w:line="252" w:lineRule="auto"/>
              <w:jc w:val="left"/>
            </w:pPr>
            <w:r>
              <w:rPr>
                <w:rFonts w:ascii="Times New Roman" w:hAnsi="Times New Roman"/>
                <w:sz w:val="18"/>
              </w:rPr>
              <w:t>-94.2 mmBtu/hr</w:t>
            </w:r>
          </w:p>
        </w:tc>
        <w:tc>
          <w:tcPr>
            <w:tcW w:type="dxa" w:w="1440"/>
            <w:shd w:fill="FAFAFA"/>
          </w:tcPr>
          <w:p>
            <w:pPr>
              <w:spacing w:before="40" w:after="40" w:line="252" w:lineRule="auto"/>
              <w:jc w:val="left"/>
            </w:pPr>
            <w:r>
              <w:rPr>
                <w:rFonts w:ascii="Times New Roman" w:hAnsi="Times New Roman"/>
                <w:sz w:val="18"/>
              </w:rPr>
              <w:t>1,725.3 mmBtu/hr</w:t>
            </w:r>
          </w:p>
        </w:tc>
        <w:tc>
          <w:tcPr>
            <w:tcW w:type="dxa" w:w="1584"/>
            <w:shd w:fill="FAFAFA"/>
          </w:tcPr>
          <w:p>
            <w:pPr>
              <w:spacing w:before="40" w:after="40" w:line="252" w:lineRule="auto"/>
              <w:jc w:val="left"/>
            </w:pPr>
            <w:r>
              <w:rPr>
                <w:rFonts w:ascii="Times New Roman" w:hAnsi="Times New Roman"/>
                <w:sz w:val="18"/>
              </w:rPr>
              <w:t>Not Statistically Significant</w:t>
            </w:r>
          </w:p>
        </w:tc>
      </w:tr>
      <w:tr>
        <w:tc>
          <w:tcPr>
            <w:tcW w:type="dxa" w:w="1584"/>
          </w:tcPr>
          <w:p>
            <w:pPr>
              <w:spacing w:before="40" w:after="40" w:line="252" w:lineRule="auto"/>
              <w:jc w:val="left"/>
            </w:pPr>
            <w:r>
              <w:rPr>
                <w:rFonts w:ascii="Times New Roman" w:hAnsi="Times New Roman"/>
                <w:sz w:val="18"/>
              </w:rPr>
              <w:t>Biomass Fuel</w:t>
            </w:r>
          </w:p>
        </w:tc>
        <w:tc>
          <w:tcPr>
            <w:tcW w:type="dxa" w:w="1584"/>
          </w:tcPr>
          <w:p>
            <w:pPr>
              <w:spacing w:before="40" w:after="40" w:line="252" w:lineRule="auto"/>
              <w:jc w:val="left"/>
            </w:pPr>
            <w:r>
              <w:rPr>
                <w:rFonts w:ascii="Times New Roman" w:hAnsi="Times New Roman"/>
                <w:sz w:val="18"/>
              </w:rPr>
              <w:t>Oil / Diesel Fuel</w:t>
            </w:r>
          </w:p>
        </w:tc>
        <w:tc>
          <w:tcPr>
            <w:tcW w:type="dxa" w:w="1440"/>
          </w:tcPr>
          <w:p>
            <w:pPr>
              <w:spacing w:before="40" w:after="40" w:line="252" w:lineRule="auto"/>
              <w:jc w:val="left"/>
            </w:pPr>
            <w:r>
              <w:rPr>
                <w:rFonts w:ascii="Times New Roman" w:hAnsi="Times New Roman"/>
                <w:sz w:val="18"/>
              </w:rPr>
              <w:t>+39.2 mmBtu/hr</w:t>
            </w:r>
          </w:p>
        </w:tc>
        <w:tc>
          <w:tcPr>
            <w:tcW w:type="dxa" w:w="1008"/>
          </w:tcPr>
          <w:p>
            <w:pPr>
              <w:spacing w:before="40" w:after="40" w:line="252" w:lineRule="auto"/>
              <w:jc w:val="left"/>
            </w:pPr>
            <w:r>
              <w:rPr>
                <w:rFonts w:ascii="Times New Roman" w:hAnsi="Times New Roman"/>
                <w:sz w:val="18"/>
              </w:rPr>
              <w:t>p = 1.0000</w:t>
            </w:r>
          </w:p>
        </w:tc>
        <w:tc>
          <w:tcPr>
            <w:tcW w:type="dxa" w:w="1440"/>
          </w:tcPr>
          <w:p>
            <w:pPr>
              <w:spacing w:before="40" w:after="40" w:line="252" w:lineRule="auto"/>
              <w:jc w:val="left"/>
            </w:pPr>
            <w:r>
              <w:rPr>
                <w:rFonts w:ascii="Times New Roman" w:hAnsi="Times New Roman"/>
                <w:sz w:val="18"/>
              </w:rPr>
              <w:t>-900.1 mmBtu/hr</w:t>
            </w:r>
          </w:p>
        </w:tc>
        <w:tc>
          <w:tcPr>
            <w:tcW w:type="dxa" w:w="1440"/>
          </w:tcPr>
          <w:p>
            <w:pPr>
              <w:spacing w:before="40" w:after="40" w:line="252" w:lineRule="auto"/>
              <w:jc w:val="left"/>
            </w:pPr>
            <w:r>
              <w:rPr>
                <w:rFonts w:ascii="Times New Roman" w:hAnsi="Times New Roman"/>
                <w:sz w:val="18"/>
              </w:rPr>
              <w:t>978.5 mmBtu/hr</w:t>
            </w:r>
          </w:p>
        </w:tc>
        <w:tc>
          <w:tcPr>
            <w:tcW w:type="dxa" w:w="1584"/>
          </w:tcPr>
          <w:p>
            <w:pPr>
              <w:spacing w:before="40" w:after="40" w:line="252" w:lineRule="auto"/>
              <w:jc w:val="left"/>
            </w:pPr>
            <w:r>
              <w:rPr>
                <w:rFonts w:ascii="Times New Roman" w:hAnsi="Times New Roman"/>
                <w:sz w:val="18"/>
              </w:rPr>
              <w:t>Not Statistically Significant</w:t>
            </w:r>
          </w:p>
        </w:tc>
      </w:tr>
      <w:tr>
        <w:tc>
          <w:tcPr>
            <w:tcW w:type="dxa" w:w="1584"/>
            <w:shd w:fill="FAFAFA"/>
          </w:tcPr>
          <w:p>
            <w:pPr>
              <w:spacing w:before="40" w:after="40" w:line="252" w:lineRule="auto"/>
              <w:jc w:val="left"/>
            </w:pPr>
            <w:r>
              <w:rPr>
                <w:rFonts w:ascii="Times New Roman" w:hAnsi="Times New Roman"/>
                <w:sz w:val="18"/>
              </w:rPr>
              <w:t>Biomass Fuel</w:t>
            </w:r>
          </w:p>
        </w:tc>
        <w:tc>
          <w:tcPr>
            <w:tcW w:type="dxa" w:w="1584"/>
            <w:shd w:fill="FAFAFA"/>
          </w:tcPr>
          <w:p>
            <w:pPr>
              <w:spacing w:before="40" w:after="40" w:line="252" w:lineRule="auto"/>
              <w:jc w:val="left"/>
            </w:pPr>
            <w:r>
              <w:rPr>
                <w:rFonts w:ascii="Times New Roman" w:hAnsi="Times New Roman"/>
                <w:sz w:val="18"/>
              </w:rPr>
              <w:t>Other/Unknown Fuel</w:t>
            </w:r>
          </w:p>
        </w:tc>
        <w:tc>
          <w:tcPr>
            <w:tcW w:type="dxa" w:w="1440"/>
            <w:shd w:fill="FAFAFA"/>
          </w:tcPr>
          <w:p>
            <w:pPr>
              <w:spacing w:before="40" w:after="40" w:line="252" w:lineRule="auto"/>
              <w:jc w:val="left"/>
            </w:pPr>
            <w:r>
              <w:rPr>
                <w:rFonts w:ascii="Times New Roman" w:hAnsi="Times New Roman"/>
                <w:sz w:val="18"/>
              </w:rPr>
              <w:t>+541.8 mmBtu/hr</w:t>
            </w:r>
          </w:p>
        </w:tc>
        <w:tc>
          <w:tcPr>
            <w:tcW w:type="dxa" w:w="1008"/>
            <w:shd w:fill="FAFAFA"/>
          </w:tcPr>
          <w:p>
            <w:pPr>
              <w:spacing w:before="40" w:after="40" w:line="252" w:lineRule="auto"/>
              <w:jc w:val="left"/>
            </w:pPr>
            <w:r>
              <w:rPr>
                <w:rFonts w:ascii="Times New Roman" w:hAnsi="Times New Roman"/>
                <w:sz w:val="18"/>
              </w:rPr>
              <w:t>p = 0.6776</w:t>
            </w:r>
          </w:p>
        </w:tc>
        <w:tc>
          <w:tcPr>
            <w:tcW w:type="dxa" w:w="1440"/>
            <w:shd w:fill="FAFAFA"/>
          </w:tcPr>
          <w:p>
            <w:pPr>
              <w:spacing w:before="40" w:after="40" w:line="252" w:lineRule="auto"/>
              <w:jc w:val="left"/>
            </w:pPr>
            <w:r>
              <w:rPr>
                <w:rFonts w:ascii="Times New Roman" w:hAnsi="Times New Roman"/>
                <w:sz w:val="18"/>
              </w:rPr>
              <w:t>-576.8 mmBtu/hr</w:t>
            </w:r>
          </w:p>
        </w:tc>
        <w:tc>
          <w:tcPr>
            <w:tcW w:type="dxa" w:w="1440"/>
            <w:shd w:fill="FAFAFA"/>
          </w:tcPr>
          <w:p>
            <w:pPr>
              <w:spacing w:before="40" w:after="40" w:line="252" w:lineRule="auto"/>
              <w:jc w:val="left"/>
            </w:pPr>
            <w:r>
              <w:rPr>
                <w:rFonts w:ascii="Times New Roman" w:hAnsi="Times New Roman"/>
                <w:sz w:val="18"/>
              </w:rPr>
              <w:t>1,660.4 mmBtu/hr</w:t>
            </w:r>
          </w:p>
        </w:tc>
        <w:tc>
          <w:tcPr>
            <w:tcW w:type="dxa" w:w="1584"/>
            <w:shd w:fill="FAFAFA"/>
          </w:tcPr>
          <w:p>
            <w:pPr>
              <w:spacing w:before="40" w:after="40" w:line="252" w:lineRule="auto"/>
              <w:jc w:val="left"/>
            </w:pPr>
            <w:r>
              <w:rPr>
                <w:rFonts w:ascii="Times New Roman" w:hAnsi="Times New Roman"/>
                <w:sz w:val="18"/>
              </w:rPr>
              <w:t>Not Statistically Significant</w:t>
            </w:r>
          </w:p>
        </w:tc>
      </w:tr>
      <w:tr>
        <w:tc>
          <w:tcPr>
            <w:tcW w:type="dxa" w:w="1584"/>
          </w:tcPr>
          <w:p>
            <w:pPr>
              <w:spacing w:before="40" w:after="40" w:line="252" w:lineRule="auto"/>
              <w:jc w:val="left"/>
            </w:pPr>
            <w:r>
              <w:rPr>
                <w:rFonts w:ascii="Times New Roman" w:hAnsi="Times New Roman"/>
                <w:sz w:val="18"/>
              </w:rPr>
              <w:t>Coal Fuel</w:t>
            </w:r>
          </w:p>
        </w:tc>
        <w:tc>
          <w:tcPr>
            <w:tcW w:type="dxa" w:w="1584"/>
          </w:tcPr>
          <w:p>
            <w:pPr>
              <w:spacing w:before="40" w:after="40" w:line="252" w:lineRule="auto"/>
              <w:jc w:val="left"/>
            </w:pPr>
            <w:r>
              <w:rPr>
                <w:rFonts w:ascii="Times New Roman" w:hAnsi="Times New Roman"/>
                <w:sz w:val="18"/>
              </w:rPr>
              <w:t>Natural Gas Fuel</w:t>
            </w:r>
          </w:p>
        </w:tc>
        <w:tc>
          <w:tcPr>
            <w:tcW w:type="dxa" w:w="1440"/>
          </w:tcPr>
          <w:p>
            <w:pPr>
              <w:spacing w:before="40" w:after="40" w:line="252" w:lineRule="auto"/>
              <w:jc w:val="left"/>
            </w:pPr>
            <w:r>
              <w:rPr>
                <w:rFonts w:ascii="Times New Roman" w:hAnsi="Times New Roman"/>
                <w:sz w:val="18"/>
              </w:rPr>
              <w:t>-3,668.2 mmBtu/hr</w:t>
            </w:r>
          </w:p>
        </w:tc>
        <w:tc>
          <w:tcPr>
            <w:tcW w:type="dxa" w:w="1008"/>
          </w:tcPr>
          <w:p>
            <w:pPr>
              <w:spacing w:before="40" w:after="40" w:line="252" w:lineRule="auto"/>
              <w:jc w:val="left"/>
            </w:pPr>
            <w:r>
              <w:rPr>
                <w:rFonts w:ascii="Times New Roman" w:hAnsi="Times New Roman"/>
                <w:sz w:val="18"/>
              </w:rPr>
              <w:t>p &lt; 0.0001</w:t>
            </w:r>
          </w:p>
        </w:tc>
        <w:tc>
          <w:tcPr>
            <w:tcW w:type="dxa" w:w="1440"/>
          </w:tcPr>
          <w:p>
            <w:pPr>
              <w:spacing w:before="40" w:after="40" w:line="252" w:lineRule="auto"/>
              <w:jc w:val="left"/>
            </w:pPr>
            <w:r>
              <w:rPr>
                <w:rFonts w:ascii="Times New Roman" w:hAnsi="Times New Roman"/>
                <w:sz w:val="18"/>
              </w:rPr>
              <w:t>-3,892.7 mmBtu/hr</w:t>
            </w:r>
          </w:p>
        </w:tc>
        <w:tc>
          <w:tcPr>
            <w:tcW w:type="dxa" w:w="1440"/>
          </w:tcPr>
          <w:p>
            <w:pPr>
              <w:spacing w:before="40" w:after="40" w:line="252" w:lineRule="auto"/>
              <w:jc w:val="left"/>
            </w:pPr>
            <w:r>
              <w:rPr>
                <w:rFonts w:ascii="Times New Roman" w:hAnsi="Times New Roman"/>
                <w:sz w:val="18"/>
              </w:rPr>
              <w:t>-3,443.7 mmBtu/hr</w:t>
            </w:r>
          </w:p>
        </w:tc>
        <w:tc>
          <w:tcPr>
            <w:tcW w:type="dxa" w:w="1584"/>
          </w:tcPr>
          <w:p>
            <w:pPr>
              <w:spacing w:before="40" w:after="40" w:line="252" w:lineRule="auto"/>
              <w:jc w:val="left"/>
            </w:pPr>
            <w:r>
              <w:rPr>
                <w:rFonts w:ascii="Times New Roman" w:hAnsi="Times New Roman"/>
                <w:sz w:val="18"/>
              </w:rPr>
              <w:t>Statistically Significant</w:t>
            </w:r>
          </w:p>
        </w:tc>
      </w:tr>
      <w:tr>
        <w:tc>
          <w:tcPr>
            <w:tcW w:type="dxa" w:w="1584"/>
            <w:shd w:fill="FAFAFA"/>
          </w:tcPr>
          <w:p>
            <w:pPr>
              <w:spacing w:before="40" w:after="40" w:line="252" w:lineRule="auto"/>
              <w:jc w:val="left"/>
            </w:pPr>
            <w:r>
              <w:rPr>
                <w:rFonts w:ascii="Times New Roman" w:hAnsi="Times New Roman"/>
                <w:sz w:val="18"/>
              </w:rPr>
              <w:t>Coal Fuel</w:t>
            </w:r>
          </w:p>
        </w:tc>
        <w:tc>
          <w:tcPr>
            <w:tcW w:type="dxa" w:w="1584"/>
            <w:shd w:fill="FAFAFA"/>
          </w:tcPr>
          <w:p>
            <w:pPr>
              <w:spacing w:before="40" w:after="40" w:line="252" w:lineRule="auto"/>
              <w:jc w:val="left"/>
            </w:pPr>
            <w:r>
              <w:rPr>
                <w:rFonts w:ascii="Times New Roman" w:hAnsi="Times New Roman"/>
                <w:sz w:val="18"/>
              </w:rPr>
              <w:t>Oil / Diesel Fuel</w:t>
            </w:r>
          </w:p>
        </w:tc>
        <w:tc>
          <w:tcPr>
            <w:tcW w:type="dxa" w:w="1440"/>
            <w:shd w:fill="FAFAFA"/>
          </w:tcPr>
          <w:p>
            <w:pPr>
              <w:spacing w:before="40" w:after="40" w:line="252" w:lineRule="auto"/>
              <w:jc w:val="left"/>
            </w:pPr>
            <w:r>
              <w:rPr>
                <w:rFonts w:ascii="Times New Roman" w:hAnsi="Times New Roman"/>
                <w:sz w:val="18"/>
              </w:rPr>
              <w:t>-4,444.5 mmBtu/hr</w:t>
            </w:r>
          </w:p>
        </w:tc>
        <w:tc>
          <w:tcPr>
            <w:tcW w:type="dxa" w:w="1008"/>
            <w:shd w:fill="FAFAFA"/>
          </w:tcPr>
          <w:p>
            <w:pPr>
              <w:spacing w:before="40" w:after="40" w:line="252" w:lineRule="auto"/>
              <w:jc w:val="left"/>
            </w:pPr>
            <w:r>
              <w:rPr>
                <w:rFonts w:ascii="Times New Roman" w:hAnsi="Times New Roman"/>
                <w:sz w:val="18"/>
              </w:rPr>
              <w:t>p &lt; 0.0001</w:t>
            </w:r>
          </w:p>
        </w:tc>
        <w:tc>
          <w:tcPr>
            <w:tcW w:type="dxa" w:w="1440"/>
            <w:shd w:fill="FAFAFA"/>
          </w:tcPr>
          <w:p>
            <w:pPr>
              <w:spacing w:before="40" w:after="40" w:line="252" w:lineRule="auto"/>
              <w:jc w:val="left"/>
            </w:pPr>
            <w:r>
              <w:rPr>
                <w:rFonts w:ascii="Times New Roman" w:hAnsi="Times New Roman"/>
                <w:sz w:val="18"/>
              </w:rPr>
              <w:t>-4,768.8 mmBtu/hr</w:t>
            </w:r>
          </w:p>
        </w:tc>
        <w:tc>
          <w:tcPr>
            <w:tcW w:type="dxa" w:w="1440"/>
            <w:shd w:fill="FAFAFA"/>
          </w:tcPr>
          <w:p>
            <w:pPr>
              <w:spacing w:before="40" w:after="40" w:line="252" w:lineRule="auto"/>
              <w:jc w:val="left"/>
            </w:pPr>
            <w:r>
              <w:rPr>
                <w:rFonts w:ascii="Times New Roman" w:hAnsi="Times New Roman"/>
                <w:sz w:val="18"/>
              </w:rPr>
              <w:t>-4,120.3 mmBtu/hr</w:t>
            </w:r>
          </w:p>
        </w:tc>
        <w:tc>
          <w:tcPr>
            <w:tcW w:type="dxa" w:w="1584"/>
            <w:shd w:fill="FAFAFA"/>
          </w:tcPr>
          <w:p>
            <w:pPr>
              <w:spacing w:before="40" w:after="40" w:line="252" w:lineRule="auto"/>
              <w:jc w:val="left"/>
            </w:pPr>
            <w:r>
              <w:rPr>
                <w:rFonts w:ascii="Times New Roman" w:hAnsi="Times New Roman"/>
                <w:sz w:val="18"/>
              </w:rPr>
              <w:t>Statistically Significant</w:t>
            </w:r>
          </w:p>
        </w:tc>
      </w:tr>
      <w:tr>
        <w:tc>
          <w:tcPr>
            <w:tcW w:type="dxa" w:w="1584"/>
          </w:tcPr>
          <w:p>
            <w:pPr>
              <w:spacing w:before="40" w:after="40" w:line="252" w:lineRule="auto"/>
              <w:jc w:val="left"/>
            </w:pPr>
            <w:r>
              <w:rPr>
                <w:rFonts w:ascii="Times New Roman" w:hAnsi="Times New Roman"/>
                <w:sz w:val="18"/>
              </w:rPr>
              <w:t>Coal Fuel</w:t>
            </w:r>
          </w:p>
        </w:tc>
        <w:tc>
          <w:tcPr>
            <w:tcW w:type="dxa" w:w="1584"/>
          </w:tcPr>
          <w:p>
            <w:pPr>
              <w:spacing w:before="40" w:after="40" w:line="252" w:lineRule="auto"/>
              <w:jc w:val="left"/>
            </w:pPr>
            <w:r>
              <w:rPr>
                <w:rFonts w:ascii="Times New Roman" w:hAnsi="Times New Roman"/>
                <w:sz w:val="18"/>
              </w:rPr>
              <w:t>Other/Unknown Fuel</w:t>
            </w:r>
          </w:p>
        </w:tc>
        <w:tc>
          <w:tcPr>
            <w:tcW w:type="dxa" w:w="1440"/>
          </w:tcPr>
          <w:p>
            <w:pPr>
              <w:spacing w:before="40" w:after="40" w:line="252" w:lineRule="auto"/>
              <w:jc w:val="left"/>
            </w:pPr>
            <w:r>
              <w:rPr>
                <w:rFonts w:ascii="Times New Roman" w:hAnsi="Times New Roman"/>
                <w:sz w:val="18"/>
              </w:rPr>
              <w:t>-3,941.9 mmBtu/hr</w:t>
            </w:r>
          </w:p>
        </w:tc>
        <w:tc>
          <w:tcPr>
            <w:tcW w:type="dxa" w:w="1008"/>
          </w:tcPr>
          <w:p>
            <w:pPr>
              <w:spacing w:before="40" w:after="40" w:line="252" w:lineRule="auto"/>
              <w:jc w:val="left"/>
            </w:pPr>
            <w:r>
              <w:rPr>
                <w:rFonts w:ascii="Times New Roman" w:hAnsi="Times New Roman"/>
                <w:sz w:val="18"/>
              </w:rPr>
              <w:t>p &lt; 0.0001</w:t>
            </w:r>
          </w:p>
        </w:tc>
        <w:tc>
          <w:tcPr>
            <w:tcW w:type="dxa" w:w="1440"/>
          </w:tcPr>
          <w:p>
            <w:pPr>
              <w:spacing w:before="40" w:after="40" w:line="252" w:lineRule="auto"/>
              <w:jc w:val="left"/>
            </w:pPr>
            <w:r>
              <w:rPr>
                <w:rFonts w:ascii="Times New Roman" w:hAnsi="Times New Roman"/>
                <w:sz w:val="18"/>
              </w:rPr>
              <w:t>-4,630.5 mmBtu/hr</w:t>
            </w:r>
          </w:p>
        </w:tc>
        <w:tc>
          <w:tcPr>
            <w:tcW w:type="dxa" w:w="1440"/>
          </w:tcPr>
          <w:p>
            <w:pPr>
              <w:spacing w:before="40" w:after="40" w:line="252" w:lineRule="auto"/>
              <w:jc w:val="left"/>
            </w:pPr>
            <w:r>
              <w:rPr>
                <w:rFonts w:ascii="Times New Roman" w:hAnsi="Times New Roman"/>
                <w:sz w:val="18"/>
              </w:rPr>
              <w:t>-3,253.3 mmBtu/hr</w:t>
            </w:r>
          </w:p>
        </w:tc>
        <w:tc>
          <w:tcPr>
            <w:tcW w:type="dxa" w:w="1584"/>
          </w:tcPr>
          <w:p>
            <w:pPr>
              <w:spacing w:before="40" w:after="40" w:line="252" w:lineRule="auto"/>
              <w:jc w:val="left"/>
            </w:pPr>
            <w:r>
              <w:rPr>
                <w:rFonts w:ascii="Times New Roman" w:hAnsi="Times New Roman"/>
                <w:sz w:val="18"/>
              </w:rPr>
              <w:t>Statistically Significant</w:t>
            </w:r>
          </w:p>
        </w:tc>
      </w:tr>
      <w:tr>
        <w:tc>
          <w:tcPr>
            <w:tcW w:type="dxa" w:w="1584"/>
            <w:shd w:fill="FAFAFA"/>
          </w:tcPr>
          <w:p>
            <w:pPr>
              <w:spacing w:before="40" w:after="40" w:line="252" w:lineRule="auto"/>
              <w:jc w:val="left"/>
            </w:pPr>
            <w:r>
              <w:rPr>
                <w:rFonts w:ascii="Times New Roman" w:hAnsi="Times New Roman"/>
                <w:sz w:val="18"/>
              </w:rPr>
              <w:t>Natural Gas Fuel</w:t>
            </w:r>
          </w:p>
        </w:tc>
        <w:tc>
          <w:tcPr>
            <w:tcW w:type="dxa" w:w="1584"/>
            <w:shd w:fill="FAFAFA"/>
          </w:tcPr>
          <w:p>
            <w:pPr>
              <w:spacing w:before="40" w:after="40" w:line="252" w:lineRule="auto"/>
              <w:jc w:val="left"/>
            </w:pPr>
            <w:r>
              <w:rPr>
                <w:rFonts w:ascii="Times New Roman" w:hAnsi="Times New Roman"/>
                <w:sz w:val="18"/>
              </w:rPr>
              <w:t>Oil / Diesel Fuel</w:t>
            </w:r>
          </w:p>
        </w:tc>
        <w:tc>
          <w:tcPr>
            <w:tcW w:type="dxa" w:w="1440"/>
            <w:shd w:fill="FAFAFA"/>
          </w:tcPr>
          <w:p>
            <w:pPr>
              <w:spacing w:before="40" w:after="40" w:line="252" w:lineRule="auto"/>
              <w:jc w:val="left"/>
            </w:pPr>
            <w:r>
              <w:rPr>
                <w:rFonts w:ascii="Times New Roman" w:hAnsi="Times New Roman"/>
                <w:sz w:val="18"/>
              </w:rPr>
              <w:t>-776.4 mmBtu/hr</w:t>
            </w:r>
          </w:p>
        </w:tc>
        <w:tc>
          <w:tcPr>
            <w:tcW w:type="dxa" w:w="1008"/>
            <w:shd w:fill="FAFAFA"/>
          </w:tcPr>
          <w:p>
            <w:pPr>
              <w:spacing w:before="40" w:after="40" w:line="252" w:lineRule="auto"/>
              <w:jc w:val="left"/>
            </w:pPr>
            <w:r>
              <w:rPr>
                <w:rFonts w:ascii="Times New Roman" w:hAnsi="Times New Roman"/>
                <w:sz w:val="18"/>
              </w:rPr>
              <w:t>p &lt; 0.0001</w:t>
            </w:r>
          </w:p>
        </w:tc>
        <w:tc>
          <w:tcPr>
            <w:tcW w:type="dxa" w:w="1440"/>
            <w:shd w:fill="FAFAFA"/>
          </w:tcPr>
          <w:p>
            <w:pPr>
              <w:spacing w:before="40" w:after="40" w:line="252" w:lineRule="auto"/>
              <w:jc w:val="left"/>
            </w:pPr>
            <w:r>
              <w:rPr>
                <w:rFonts w:ascii="Times New Roman" w:hAnsi="Times New Roman"/>
                <w:sz w:val="18"/>
              </w:rPr>
              <w:t>-1,034.1 mmBtu/hr</w:t>
            </w:r>
          </w:p>
        </w:tc>
        <w:tc>
          <w:tcPr>
            <w:tcW w:type="dxa" w:w="1440"/>
            <w:shd w:fill="FAFAFA"/>
          </w:tcPr>
          <w:p>
            <w:pPr>
              <w:spacing w:before="40" w:after="40" w:line="252" w:lineRule="auto"/>
              <w:jc w:val="left"/>
            </w:pPr>
            <w:r>
              <w:rPr>
                <w:rFonts w:ascii="Times New Roman" w:hAnsi="Times New Roman"/>
                <w:sz w:val="18"/>
              </w:rPr>
              <w:t>-518.7 mmBtu/hr</w:t>
            </w:r>
          </w:p>
        </w:tc>
        <w:tc>
          <w:tcPr>
            <w:tcW w:type="dxa" w:w="1584"/>
            <w:shd w:fill="FAFAFA"/>
          </w:tcPr>
          <w:p>
            <w:pPr>
              <w:spacing w:before="40" w:after="40" w:line="252" w:lineRule="auto"/>
              <w:jc w:val="left"/>
            </w:pPr>
            <w:r>
              <w:rPr>
                <w:rFonts w:ascii="Times New Roman" w:hAnsi="Times New Roman"/>
                <w:sz w:val="18"/>
              </w:rPr>
              <w:t>Statistically Significant</w:t>
            </w:r>
          </w:p>
        </w:tc>
      </w:tr>
      <w:tr>
        <w:tc>
          <w:tcPr>
            <w:tcW w:type="dxa" w:w="1584"/>
          </w:tcPr>
          <w:p>
            <w:pPr>
              <w:spacing w:before="40" w:after="40" w:line="252" w:lineRule="auto"/>
              <w:jc w:val="left"/>
            </w:pPr>
            <w:r>
              <w:rPr>
                <w:rFonts w:ascii="Times New Roman" w:hAnsi="Times New Roman"/>
                <w:sz w:val="18"/>
              </w:rPr>
              <w:t>Natural Gas Fuel</w:t>
            </w:r>
          </w:p>
        </w:tc>
        <w:tc>
          <w:tcPr>
            <w:tcW w:type="dxa" w:w="1584"/>
          </w:tcPr>
          <w:p>
            <w:pPr>
              <w:spacing w:before="40" w:after="40" w:line="252" w:lineRule="auto"/>
              <w:jc w:val="left"/>
            </w:pPr>
            <w:r>
              <w:rPr>
                <w:rFonts w:ascii="Times New Roman" w:hAnsi="Times New Roman"/>
                <w:sz w:val="18"/>
              </w:rPr>
              <w:t>Other/Unknown Fuel</w:t>
            </w:r>
          </w:p>
        </w:tc>
        <w:tc>
          <w:tcPr>
            <w:tcW w:type="dxa" w:w="1440"/>
          </w:tcPr>
          <w:p>
            <w:pPr>
              <w:spacing w:before="40" w:after="40" w:line="252" w:lineRule="auto"/>
              <w:jc w:val="left"/>
            </w:pPr>
            <w:r>
              <w:rPr>
                <w:rFonts w:ascii="Times New Roman" w:hAnsi="Times New Roman"/>
                <w:sz w:val="18"/>
              </w:rPr>
              <w:t>-273.8 mmBtu/hr</w:t>
            </w:r>
          </w:p>
        </w:tc>
        <w:tc>
          <w:tcPr>
            <w:tcW w:type="dxa" w:w="1008"/>
          </w:tcPr>
          <w:p>
            <w:pPr>
              <w:spacing w:before="40" w:after="40" w:line="252" w:lineRule="auto"/>
              <w:jc w:val="left"/>
            </w:pPr>
            <w:r>
              <w:rPr>
                <w:rFonts w:ascii="Times New Roman" w:hAnsi="Times New Roman"/>
                <w:sz w:val="18"/>
              </w:rPr>
              <w:t>p = 0.7895</w:t>
            </w:r>
          </w:p>
        </w:tc>
        <w:tc>
          <w:tcPr>
            <w:tcW w:type="dxa" w:w="1440"/>
          </w:tcPr>
          <w:p>
            <w:pPr>
              <w:spacing w:before="40" w:after="40" w:line="252" w:lineRule="auto"/>
              <w:jc w:val="left"/>
            </w:pPr>
            <w:r>
              <w:rPr>
                <w:rFonts w:ascii="Times New Roman" w:hAnsi="Times New Roman"/>
                <w:sz w:val="18"/>
              </w:rPr>
              <w:t>-933.6 mmBtu/hr</w:t>
            </w:r>
          </w:p>
        </w:tc>
        <w:tc>
          <w:tcPr>
            <w:tcW w:type="dxa" w:w="1440"/>
          </w:tcPr>
          <w:p>
            <w:pPr>
              <w:spacing w:before="40" w:after="40" w:line="252" w:lineRule="auto"/>
              <w:jc w:val="left"/>
            </w:pPr>
            <w:r>
              <w:rPr>
                <w:rFonts w:ascii="Times New Roman" w:hAnsi="Times New Roman"/>
                <w:sz w:val="18"/>
              </w:rPr>
              <w:t>386.1 mmBtu/hr</w:t>
            </w:r>
          </w:p>
        </w:tc>
        <w:tc>
          <w:tcPr>
            <w:tcW w:type="dxa" w:w="1584"/>
          </w:tcPr>
          <w:p>
            <w:pPr>
              <w:spacing w:before="40" w:after="40" w:line="252" w:lineRule="auto"/>
              <w:jc w:val="left"/>
            </w:pPr>
            <w:r>
              <w:rPr>
                <w:rFonts w:ascii="Times New Roman" w:hAnsi="Times New Roman"/>
                <w:sz w:val="18"/>
              </w:rPr>
              <w:t>Not Statistically Significant</w:t>
            </w:r>
          </w:p>
        </w:tc>
      </w:tr>
      <w:tr>
        <w:tc>
          <w:tcPr>
            <w:tcW w:type="dxa" w:w="1584"/>
            <w:shd w:fill="FAFAFA"/>
          </w:tcPr>
          <w:p>
            <w:pPr>
              <w:spacing w:before="40" w:after="40" w:line="252" w:lineRule="auto"/>
              <w:jc w:val="left"/>
            </w:pPr>
            <w:r>
              <w:rPr>
                <w:rFonts w:ascii="Times New Roman" w:hAnsi="Times New Roman"/>
                <w:sz w:val="18"/>
              </w:rPr>
              <w:t>Oil / Diesel Fuel</w:t>
            </w:r>
          </w:p>
        </w:tc>
        <w:tc>
          <w:tcPr>
            <w:tcW w:type="dxa" w:w="1584"/>
            <w:shd w:fill="FAFAFA"/>
          </w:tcPr>
          <w:p>
            <w:pPr>
              <w:spacing w:before="40" w:after="40" w:line="252" w:lineRule="auto"/>
              <w:jc w:val="left"/>
            </w:pPr>
            <w:r>
              <w:rPr>
                <w:rFonts w:ascii="Times New Roman" w:hAnsi="Times New Roman"/>
                <w:sz w:val="18"/>
              </w:rPr>
              <w:t>Other/Unknown Fuel</w:t>
            </w:r>
          </w:p>
        </w:tc>
        <w:tc>
          <w:tcPr>
            <w:tcW w:type="dxa" w:w="1440"/>
            <w:shd w:fill="FAFAFA"/>
          </w:tcPr>
          <w:p>
            <w:pPr>
              <w:spacing w:before="40" w:after="40" w:line="252" w:lineRule="auto"/>
              <w:jc w:val="left"/>
            </w:pPr>
            <w:r>
              <w:rPr>
                <w:rFonts w:ascii="Times New Roman" w:hAnsi="Times New Roman"/>
                <w:sz w:val="18"/>
              </w:rPr>
              <w:t>+502.6 mmBtu/hr</w:t>
            </w:r>
          </w:p>
        </w:tc>
        <w:tc>
          <w:tcPr>
            <w:tcW w:type="dxa" w:w="1008"/>
            <w:shd w:fill="FAFAFA"/>
          </w:tcPr>
          <w:p>
            <w:pPr>
              <w:spacing w:before="40" w:after="40" w:line="252" w:lineRule="auto"/>
              <w:jc w:val="left"/>
            </w:pPr>
            <w:r>
              <w:rPr>
                <w:rFonts w:ascii="Times New Roman" w:hAnsi="Times New Roman"/>
                <w:sz w:val="18"/>
              </w:rPr>
              <w:t>p = 0.2864</w:t>
            </w:r>
          </w:p>
        </w:tc>
        <w:tc>
          <w:tcPr>
            <w:tcW w:type="dxa" w:w="1440"/>
            <w:shd w:fill="FAFAFA"/>
          </w:tcPr>
          <w:p>
            <w:pPr>
              <w:spacing w:before="40" w:after="40" w:line="252" w:lineRule="auto"/>
              <w:jc w:val="left"/>
            </w:pPr>
            <w:r>
              <w:rPr>
                <w:rFonts w:ascii="Times New Roman" w:hAnsi="Times New Roman"/>
                <w:sz w:val="18"/>
              </w:rPr>
              <w:t>-197.5 mmBtu/hr</w:t>
            </w:r>
          </w:p>
        </w:tc>
        <w:tc>
          <w:tcPr>
            <w:tcW w:type="dxa" w:w="1440"/>
            <w:shd w:fill="FAFAFA"/>
          </w:tcPr>
          <w:p>
            <w:pPr>
              <w:spacing w:before="40" w:after="40" w:line="252" w:lineRule="auto"/>
              <w:jc w:val="left"/>
            </w:pPr>
            <w:r>
              <w:rPr>
                <w:rFonts w:ascii="Times New Roman" w:hAnsi="Times New Roman"/>
                <w:sz w:val="18"/>
              </w:rPr>
              <w:t>1,202.7 mmBtu/hr</w:t>
            </w:r>
          </w:p>
        </w:tc>
        <w:tc>
          <w:tcPr>
            <w:tcW w:type="dxa" w:w="1584"/>
            <w:shd w:fill="FAFAFA"/>
          </w:tcPr>
          <w:p>
            <w:pPr>
              <w:spacing w:before="40" w:after="40" w:line="252" w:lineRule="auto"/>
              <w:jc w:val="left"/>
            </w:pPr>
            <w:r>
              <w:rPr>
                <w:rFonts w:ascii="Times New Roman" w:hAnsi="Times New Roman"/>
                <w:sz w:val="18"/>
              </w:rPr>
              <w:t>Not Statistically Significant</w:t>
            </w:r>
          </w:p>
        </w:tc>
      </w:tr>
    </w:tbl>
    <w:p>
      <w:pPr>
        <w:spacing w:before="60" w:after="240"/>
      </w:pPr>
      <w:r>
        <w:rPr>
          <w:rFonts w:ascii="Times New Roman" w:hAnsi="Times New Roman"/>
          <w:i/>
          <w:sz w:val="18"/>
        </w:rPr>
        <w:t xml:space="preserve">Note. </w:t>
      </w:r>
      <w:r>
        <w:rPr>
          <w:rFonts w:ascii="Times New Roman" w:hAnsi="Times New Roman"/>
          <w:sz w:val="18"/>
        </w:rPr>
        <w:t>Family-wise Tukey Honestly Significant Difference (HSD) contrasts across N = 4,050 units.</w:t>
      </w:r>
    </w:p>
    <w:p>
      <w:pPr>
        <w:keepNext/>
        <w:spacing w:before="240" w:after="120"/>
        <w:jc w:val="left"/>
      </w:pPr>
      <w:r>
        <w:rPr>
          <w:rFonts w:ascii="Times New Roman" w:hAnsi="Times New Roman"/>
          <w:b/>
          <w:color w:val="19375F"/>
          <w:sz w:val="24"/>
        </w:rPr>
        <w:t>Appendix D: Principal Component Analysis (PCA) Eigenvector Weights (RQ4)</w:t>
      </w:r>
    </w:p>
    <w:p>
      <w:pPr>
        <w:spacing w:after="120" w:line="276" w:lineRule="auto"/>
        <w:jc w:val="left"/>
      </w:pPr>
      <w:r>
        <w:rPr>
          <w:rFonts w:ascii="Times New Roman" w:hAnsi="Times New Roman"/>
          <w:i w:val="0"/>
          <w:sz w:val="22"/>
        </w:rPr>
        <w:t>As referenced in Section 5 (RQ4), Table D1 lists the orthogonal eigenvector loadings for Principal Component 1 (44.88% variance) and Principal Component 2 (35.31% variance), which jointly capture 80.19% of total variance.</w:t>
      </w:r>
    </w:p>
    <w:p>
      <w:pPr>
        <w:keepNext/>
        <w:spacing w:before="240" w:after="40"/>
      </w:pPr>
      <w:r>
        <w:rPr>
          <w:rFonts w:ascii="Times New Roman" w:hAnsi="Times New Roman"/>
          <w:b/>
          <w:sz w:val="22"/>
        </w:rPr>
        <w:t>Table D1</w:t>
      </w:r>
    </w:p>
    <w:p>
      <w:pPr>
        <w:keepNext/>
        <w:spacing w:before="0" w:after="120"/>
      </w:pPr>
      <w:r>
        <w:rPr>
          <w:rFonts w:ascii="Times New Roman" w:hAnsi="Times New Roman"/>
          <w:i/>
          <w:sz w:val="22"/>
        </w:rPr>
        <w:t>Orthogonal Principal Component Eigenvector Loadings and Structural Interpretations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Standardized Input Variable</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Axis 1 Weight (PC1)</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Axis 2 Weight (PC2)</w:t>
            </w:r>
          </w:p>
        </w:tc>
        <w:tc>
          <w:tcPr>
            <w:tcW w:type="dxa" w:w="3888"/>
            <w:tcBorders>
              <w:bottom w:val="single" w:sz="12" w:space="0" w:color="000000"/>
            </w:tcBorders>
            <w:shd w:fill="F4F6F8"/>
          </w:tcPr>
          <w:p>
            <w:pPr>
              <w:spacing w:before="60" w:after="60" w:line="240" w:lineRule="auto"/>
              <w:jc w:val="center"/>
            </w:pPr>
            <w:r>
              <w:rPr>
                <w:rFonts w:ascii="Times New Roman" w:hAnsi="Times New Roman"/>
                <w:b/>
                <w:sz w:val="19"/>
              </w:rPr>
              <w:t>Physical &amp; Regulatory Structural Meaning</w:t>
            </w:r>
          </w:p>
        </w:tc>
      </w:tr>
      <w:tr>
        <w:tc>
          <w:tcPr>
            <w:tcW w:type="dxa" w:w="2592"/>
          </w:tcPr>
          <w:p>
            <w:pPr>
              <w:spacing w:before="40" w:after="40" w:line="252" w:lineRule="auto"/>
              <w:jc w:val="left"/>
            </w:pPr>
            <w:r>
              <w:rPr>
                <w:rFonts w:ascii="Times New Roman" w:hAnsi="Times New Roman"/>
                <w:sz w:val="18"/>
              </w:rPr>
              <w:t>Log_Capacity (Generator MWe)</w:t>
            </w:r>
          </w:p>
        </w:tc>
        <w:tc>
          <w:tcPr>
            <w:tcW w:type="dxa" w:w="1440"/>
          </w:tcPr>
          <w:p>
            <w:pPr>
              <w:spacing w:before="40" w:after="40" w:line="252" w:lineRule="auto"/>
              <w:jc w:val="left"/>
            </w:pPr>
            <w:r>
              <w:rPr>
                <w:rFonts w:ascii="Times New Roman" w:hAnsi="Times New Roman"/>
                <w:sz w:val="18"/>
              </w:rPr>
              <w:t>0.6123</w:t>
            </w:r>
          </w:p>
        </w:tc>
        <w:tc>
          <w:tcPr>
            <w:tcW w:type="dxa" w:w="1440"/>
          </w:tcPr>
          <w:p>
            <w:pPr>
              <w:spacing w:before="40" w:after="40" w:line="252" w:lineRule="auto"/>
              <w:jc w:val="left"/>
            </w:pPr>
            <w:r>
              <w:rPr>
                <w:rFonts w:ascii="Times New Roman" w:hAnsi="Times New Roman"/>
                <w:sz w:val="18"/>
              </w:rPr>
              <w:t>-0.1366</w:t>
            </w:r>
          </w:p>
        </w:tc>
        <w:tc>
          <w:tcPr>
            <w:tcW w:type="dxa" w:w="3888"/>
          </w:tcPr>
          <w:p>
            <w:pPr>
              <w:spacing w:before="40" w:after="40" w:line="252" w:lineRule="auto"/>
              <w:jc w:val="left"/>
            </w:pPr>
            <w:r>
              <w:rPr>
                <w:rFonts w:ascii="Times New Roman" w:hAnsi="Times New Roman"/>
                <w:sz w:val="18"/>
              </w:rPr>
              <w:t>Dominates PC1 (+0.7082); reflects unit electrical generation scale.</w:t>
            </w:r>
          </w:p>
        </w:tc>
      </w:tr>
      <w:tr>
        <w:tc>
          <w:tcPr>
            <w:tcW w:type="dxa" w:w="2592"/>
            <w:shd w:fill="FAFAFA"/>
          </w:tcPr>
          <w:p>
            <w:pPr>
              <w:spacing w:before="40" w:after="40" w:line="252" w:lineRule="auto"/>
              <w:jc w:val="left"/>
            </w:pPr>
            <w:r>
              <w:rPr>
                <w:rFonts w:ascii="Times New Roman" w:hAnsi="Times New Roman"/>
                <w:sz w:val="18"/>
              </w:rPr>
              <w:t>Log_Heat_Input (Thermal mmBtu/hr)</w:t>
            </w:r>
          </w:p>
        </w:tc>
        <w:tc>
          <w:tcPr>
            <w:tcW w:type="dxa" w:w="1440"/>
            <w:shd w:fill="FAFAFA"/>
          </w:tcPr>
          <w:p>
            <w:pPr>
              <w:spacing w:before="40" w:after="40" w:line="252" w:lineRule="auto"/>
              <w:jc w:val="left"/>
            </w:pPr>
            <w:r>
              <w:rPr>
                <w:rFonts w:ascii="Times New Roman" w:hAnsi="Times New Roman"/>
                <w:sz w:val="18"/>
              </w:rPr>
              <w:t>0.6354</w:t>
            </w:r>
          </w:p>
        </w:tc>
        <w:tc>
          <w:tcPr>
            <w:tcW w:type="dxa" w:w="1440"/>
            <w:shd w:fill="FAFAFA"/>
          </w:tcPr>
          <w:p>
            <w:pPr>
              <w:spacing w:before="40" w:after="40" w:line="252" w:lineRule="auto"/>
              <w:jc w:val="left"/>
            </w:pPr>
            <w:r>
              <w:rPr>
                <w:rFonts w:ascii="Times New Roman" w:hAnsi="Times New Roman"/>
                <w:sz w:val="18"/>
              </w:rPr>
              <w:t>0.0177</w:t>
            </w:r>
          </w:p>
        </w:tc>
        <w:tc>
          <w:tcPr>
            <w:tcW w:type="dxa" w:w="3888"/>
            <w:shd w:fill="FAFAFA"/>
          </w:tcPr>
          <w:p>
            <w:pPr>
              <w:spacing w:before="40" w:after="40" w:line="252" w:lineRule="auto"/>
              <w:jc w:val="left"/>
            </w:pPr>
            <w:r>
              <w:rPr>
                <w:rFonts w:ascii="Times New Roman" w:hAnsi="Times New Roman"/>
                <w:sz w:val="18"/>
              </w:rPr>
              <w:t>Dominates PC1 (+0.7037); reflects burner hourly thermal throughput.</w:t>
            </w:r>
          </w:p>
        </w:tc>
      </w:tr>
      <w:tr>
        <w:tc>
          <w:tcPr>
            <w:tcW w:type="dxa" w:w="2592"/>
          </w:tcPr>
          <w:p>
            <w:pPr>
              <w:spacing w:before="40" w:after="40" w:line="252" w:lineRule="auto"/>
              <w:jc w:val="left"/>
            </w:pPr>
            <w:r>
              <w:rPr>
                <w:rFonts w:ascii="Times New Roman" w:hAnsi="Times New Roman"/>
                <w:sz w:val="18"/>
              </w:rPr>
              <w:t>Unit_Age (Service Vintage Years)</w:t>
            </w:r>
          </w:p>
        </w:tc>
        <w:tc>
          <w:tcPr>
            <w:tcW w:type="dxa" w:w="1440"/>
          </w:tcPr>
          <w:p>
            <w:pPr>
              <w:spacing w:before="40" w:after="40" w:line="252" w:lineRule="auto"/>
              <w:jc w:val="left"/>
            </w:pPr>
            <w:r>
              <w:rPr>
                <w:rFonts w:ascii="Times New Roman" w:hAnsi="Times New Roman"/>
                <w:sz w:val="18"/>
              </w:rPr>
              <w:t>-0.0219</w:t>
            </w:r>
          </w:p>
        </w:tc>
        <w:tc>
          <w:tcPr>
            <w:tcW w:type="dxa" w:w="1440"/>
          </w:tcPr>
          <w:p>
            <w:pPr>
              <w:spacing w:before="40" w:after="40" w:line="252" w:lineRule="auto"/>
              <w:jc w:val="left"/>
            </w:pPr>
            <w:r>
              <w:rPr>
                <w:rFonts w:ascii="Times New Roman" w:hAnsi="Times New Roman"/>
                <w:sz w:val="18"/>
              </w:rPr>
              <w:t>0.9702</w:t>
            </w:r>
          </w:p>
        </w:tc>
        <w:tc>
          <w:tcPr>
            <w:tcW w:type="dxa" w:w="3888"/>
          </w:tcPr>
          <w:p>
            <w:pPr>
              <w:spacing w:before="40" w:after="40" w:line="252" w:lineRule="auto"/>
              <w:jc w:val="left"/>
            </w:pPr>
            <w:r>
              <w:rPr>
                <w:rFonts w:ascii="Times New Roman" w:hAnsi="Times New Roman"/>
                <w:sz w:val="18"/>
              </w:rPr>
              <w:t>Dominates PC2 (+0.7330); distinguishes older steam plants from newer turbines.</w:t>
            </w:r>
          </w:p>
        </w:tc>
      </w:tr>
      <w:tr>
        <w:tc>
          <w:tcPr>
            <w:tcW w:type="dxa" w:w="2592"/>
            <w:shd w:fill="FAFAFA"/>
          </w:tcPr>
          <w:p>
            <w:pPr>
              <w:spacing w:before="40" w:after="40" w:line="252" w:lineRule="auto"/>
              <w:jc w:val="left"/>
            </w:pPr>
            <w:r>
              <w:rPr>
                <w:rFonts w:ascii="Times New Roman" w:hAnsi="Times New Roman"/>
                <w:sz w:val="18"/>
              </w:rPr>
              <w:t>Control_Count (Scrubber Systems)</w:t>
            </w:r>
          </w:p>
        </w:tc>
        <w:tc>
          <w:tcPr>
            <w:tcW w:type="dxa" w:w="1440"/>
            <w:shd w:fill="FAFAFA"/>
          </w:tcPr>
          <w:p>
            <w:pPr>
              <w:spacing w:before="40" w:after="40" w:line="252" w:lineRule="auto"/>
              <w:jc w:val="left"/>
            </w:pPr>
            <w:r>
              <w:rPr>
                <w:rFonts w:ascii="Times New Roman" w:hAnsi="Times New Roman"/>
                <w:sz w:val="18"/>
              </w:rPr>
              <w:t>0.4699</w:t>
            </w:r>
          </w:p>
        </w:tc>
        <w:tc>
          <w:tcPr>
            <w:tcW w:type="dxa" w:w="1440"/>
            <w:shd w:fill="FAFAFA"/>
          </w:tcPr>
          <w:p>
            <w:pPr>
              <w:spacing w:before="40" w:after="40" w:line="252" w:lineRule="auto"/>
              <w:jc w:val="left"/>
            </w:pPr>
            <w:r>
              <w:rPr>
                <w:rFonts w:ascii="Times New Roman" w:hAnsi="Times New Roman"/>
                <w:sz w:val="18"/>
              </w:rPr>
              <w:t>0.1992</w:t>
            </w:r>
          </w:p>
        </w:tc>
        <w:tc>
          <w:tcPr>
            <w:tcW w:type="dxa" w:w="3888"/>
            <w:shd w:fill="FAFAFA"/>
          </w:tcPr>
          <w:p>
            <w:pPr>
              <w:spacing w:before="40" w:after="40" w:line="252" w:lineRule="auto"/>
              <w:jc w:val="left"/>
            </w:pPr>
            <w:r>
              <w:rPr>
                <w:rFonts w:ascii="Times New Roman" w:hAnsi="Times New Roman"/>
                <w:sz w:val="18"/>
              </w:rPr>
              <w:t>Loads strongly on PC2 (+0.6691); captures multi-pollutant abatement density.</w:t>
            </w:r>
          </w:p>
        </w:tc>
      </w:tr>
    </w:tbl>
    <w:p>
      <w:pPr>
        <w:spacing w:before="60" w:after="240"/>
      </w:pPr>
      <w:r>
        <w:rPr>
          <w:rFonts w:ascii="Times New Roman" w:hAnsi="Times New Roman"/>
          <w:i/>
          <w:sz w:val="18"/>
        </w:rPr>
        <w:t xml:space="preserve">Note. </w:t>
      </w:r>
      <w:r>
        <w:rPr>
          <w:rFonts w:ascii="Times New Roman" w:hAnsi="Times New Roman"/>
          <w:sz w:val="18"/>
        </w:rPr>
        <w:t>Eigenvector loadings extracted from the standardized 4-variable correlation matrix across N = 4,050 units.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7"/>
      </w:rPr>
      <w:t>Walsh College | QM640 Data Analytics Capstone | Dhananjay Verma (ID: 0291493)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FINAL REPORT: EPA CLEAN AIR MARKETS PROGRAM</w:t>
      <w:tab/>
    </w:r>
    <w:r>
      <w:rPr>
        <w:rFonts w:ascii="Times New Roman" w:hAnsi="Times New Roman"/>
        <w:color w:val="3C3C3C"/>
        <w:sz w:val="18"/>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