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executable Jupyter Notebook (.ipynb),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 (and https://github.com/djmsritai-tech/QM640-Data-Analytics-Capstone/blob/main/QM640_Capstone_Analytics_Notebook_DhananjayVerma_0291493.ipynb)</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(11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and Python notebooks/scripts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20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 (and https://github.com/djmsritai-tech/QM640-Data-Analytics-Capstone/blob/main/QM640_Capstone_Analytics_Notebook_DhananjayVerma_0291493.ipynb)</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dhananjay_final_capston_report_analytics.py [End-to-end Python statistical &amp; ML pipeline]</w:t>
        <w:br/>
        <w:t>│   ├── build_full_interim_report.py                [APA 7 Interim Report generation script]</w:t>
        <w:br/>
        <w:t>│   ├── build_full_final_report.py                  [APA 7 Final Report generation script]</w:t>
        <w:br/>
        <w:t>│   └── QM640_Capstone_Analytics_Notebook_DhananjayVerma_0291493.ipynb [Runnable Jupyter Notebook]</w:t>
        <w:br/>
        <w:t>│</w:t>
        <w:br/>
        <w:t>├── outputs/</w:t>
        <w:br/>
        <w:t>│   ├── analytics_results.json            [Complete JSON export of test statistics &amp; metrics]</w:t>
        <w:br/>
        <w:t>│   └── figures/                          [11 APA 7 publication figures (300 DPI)]</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 QM 640_Final_Report_DhananjayVerma-0291493.docx    [Standalone 40-page Final Report (.docx)]</w:t>
        <w:br/>
        <w:t>│   ├── QM 640_Final_Report_DhananjayVerma-0291493.pdf     [Standalone Compiled Final Report (.pdf)]</w:t>
        <w:br/>
        <w:t>│   ├── QM 640_Interim_Report_DhananjayVerma-0291493.docx  [Standalone 32-page Interim Report (.docx)]</w:t>
        <w:br/>
        <w:t>│   ├── QM 640_Interim_Report_DhananjayVerma-0291493.pdf   [Standalone Compiled Interim Report (.pdf)]</w:t>
        <w:br/>
        <w:t>│   └── QM640_Capstone_Synopsis_DhananjayVerma-0291493.docx [Approved Capstone Synopsis]</w:t>
        <w:br/>
        <w:t>│</w:t>
        <w:br/>
        <w:t>├── QM640_Capstone_Analytics_Notebook_DhananjayVerma_0291493.ipynb [Root Runnable Jupyter Notebook]</w:t>
        <w:br/>
        <w:t>├── requirements.txt                      [Python environment package requirements]</w:t>
        <w:br/>
        <w:t>├── .gitignore                            [Standard git exclusion rules]</w:t>
        <w:br/>
        <w:t>└── README.md                             [Comprehensive project documentation]</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3 enumerates the complete data cleaning log, specifying the anomaly detected, variables impacted, detection methodology, corrective treatment applied, and theoretical rationale.</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Data Cleaning and Preprocessing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Minimum Sample Size Computation per Research Question (RQ1–RQ4)</w:t>
      </w:r>
    </w:p>
    <w:p>
      <w:pPr>
        <w:spacing w:after="120" w:line="276" w:lineRule="auto"/>
        <w:jc w:val="left"/>
      </w:pPr>
      <w:r>
        <w:rPr>
          <w:rFonts w:ascii="Times New Roman" w:hAnsi="Times New Roman"/>
          <w:i w:val="0"/>
          <w:sz w:val="22"/>
        </w:rPr>
        <w:t>A foundational methodological strength of this capstone research is that modeling and statistical inferences were conducted on the complete national fleet of 4,050 generating units across 1,328 unique facilities, representing 100% of regulated units in facility-2025.csv with zero records discarded. In accordance with statistical power theory (Cohen, 1988; Cochran, 1977), a priori minimum sample size computations were performed for each Research Question (RQ1–RQ4) at a significance level of α = 0.05 and target statistical power of 1 - β = 0.80 (80%):</w:t>
      </w:r>
    </w:p>
    <w:p>
      <w:pPr>
        <w:spacing w:after="80" w:line="276" w:lineRule="auto"/>
        <w:jc w:val="left"/>
      </w:pPr>
      <w:r>
        <w:rPr>
          <w:rFonts w:ascii="Times New Roman" w:hAnsi="Times New Roman"/>
          <w:b/>
          <w:sz w:val="22"/>
        </w:rPr>
        <w:t xml:space="preserve">RQ1 Minimum Sample Size Computation: </w:t>
      </w:r>
      <w:r>
        <w:rPr>
          <w:rFonts w:ascii="Times New Roman" w:hAnsi="Times New Roman"/>
          <w:i w:val="0"/>
          <w:sz w:val="22"/>
        </w:rPr>
        <w:t>For One-Way ANOVA and Kruskal-Wallis testing across k = 5 primary fuel categories, detecting a medium effect size (Cohen's f = 0.25, equivalent to η² ≈ 0.0588) at α = 0.05 and 80% power requires a minimum total sample of N_min = 159 to 196 units (and at least 30 units per major comparison group under the Central Limit Theorem). Our analyzed sample of N = 4,050 units exceeds this minimum requirement by more than 20-fold, yielding achieved statistical power &gt; 99.99%.</w:t>
      </w:r>
    </w:p>
    <w:p>
      <w:pPr>
        <w:spacing w:after="80" w:line="276" w:lineRule="auto"/>
        <w:jc w:val="left"/>
      </w:pPr>
      <w:r>
        <w:rPr>
          <w:rFonts w:ascii="Times New Roman" w:hAnsi="Times New Roman"/>
          <w:b/>
          <w:sz w:val="22"/>
        </w:rPr>
        <w:t xml:space="preserve">RQ2 Minimum Sample Size Computation: </w:t>
      </w:r>
      <w:r>
        <w:rPr>
          <w:rFonts w:ascii="Times New Roman" w:hAnsi="Times New Roman"/>
          <w:i w:val="0"/>
          <w:sz w:val="22"/>
        </w:rPr>
        <w:t>For binary classification of High_Emitter status (25.14% positive prevalence, 1,018 high emitters across 4,050 units), standard events-per-variable (EPV) guidelines require 10 to 20 observations per candidate predictor per class (N_min = 120 to 240 units for core features, or 716 to 1,432 total units across all 18 encoded dummy parameters). Our stratified 80/20 partitioning allocates N_train = 3,240 records (80%, containing 814 high emitters) with 5-fold cross-validation and preserves N_test = 810 records (20% unseen holdout, containing 204 high emitters and 606 low emitters), exceeding minimum requirements by 3× to 13× with zero data leakage.</w:t>
      </w:r>
    </w:p>
    <w:p>
      <w:pPr>
        <w:spacing w:after="80" w:line="276" w:lineRule="auto"/>
        <w:jc w:val="left"/>
      </w:pPr>
      <w:r>
        <w:rPr>
          <w:rFonts w:ascii="Times New Roman" w:hAnsi="Times New Roman"/>
          <w:b/>
          <w:sz w:val="22"/>
        </w:rPr>
        <w:t xml:space="preserve">RQ3 Minimum Sample Size Computation: </w:t>
      </w:r>
      <w:r>
        <w:rPr>
          <w:rFonts w:ascii="Times New Roman" w:hAnsi="Times New Roman"/>
          <w:i w:val="0"/>
          <w:sz w:val="22"/>
        </w:rPr>
        <w:t>For bivariate and multivariate Ordinary Least Squares (OLS) regression with m = 3 predictors (Unit_Age, Capacity_MW, Control_Count), detecting a small-to-medium partial effect (f² = 0.02 to 0.15, r ≈ 0.10–0.30) at α = 0.05 and 80% power requires N_min = 300 to 782 records (and Green's rule of N ≥ 50 + 8m = 74). Executing OLS across all N = 4,050 units (df = 4,046) exceeds the upper threshold by &gt; 5×.</w:t>
      </w:r>
    </w:p>
    <w:p>
      <w:pPr>
        <w:spacing w:after="160" w:line="276" w:lineRule="auto"/>
        <w:jc w:val="left"/>
      </w:pPr>
      <w:r>
        <w:rPr>
          <w:rFonts w:ascii="Times New Roman" w:hAnsi="Times New Roman"/>
          <w:b/>
          <w:sz w:val="22"/>
        </w:rPr>
        <w:t xml:space="preserve">RQ4 Minimum Sample Size Computation: </w:t>
      </w:r>
      <w:r>
        <w:rPr>
          <w:rFonts w:ascii="Times New Roman" w:hAnsi="Times New Roman"/>
          <w:i w:val="0"/>
          <w:sz w:val="22"/>
        </w:rPr>
        <w:t>For unsupervised K-Means clustering and 2D Principal Component Analysis (PCA) across d = 4 continuous operational dimensions and k = 4 clusters, multivariate segmentation heuristics require at least 10× to 70× the feature/cluster count (N_min ≥ 160 to 300 units). Executing K-Means across all N = 4,050 units exceeds this requirement by &gt; 13×. Table 4 summarizes the minimum sample size computation and exact record allocation per Research Question.</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Minimum Sample Size Computation and Analytical Record Allocation per Research Question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Research Question &amp; Scope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Model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Total Records</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Training Set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Needed (Power)</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728"/>
          </w:tcPr>
          <w:p>
            <w:pPr>
              <w:spacing w:before="40" w:after="40" w:line="252" w:lineRule="auto"/>
              <w:jc w:val="left"/>
            </w:pPr>
            <w:r>
              <w:rPr>
                <w:rFonts w:ascii="Times New Roman" w:hAnsi="Times New Roman"/>
                <w:sz w:val="18"/>
              </w:rPr>
              <w:t>RQ1: Emission &amp; Heat Input Variability across Fuel Types</w:t>
            </w:r>
          </w:p>
        </w:tc>
        <w:tc>
          <w:tcPr>
            <w:tcW w:type="dxa" w:w="1584"/>
          </w:tcPr>
          <w:p>
            <w:pPr>
              <w:spacing w:before="40" w:after="40" w:line="252" w:lineRule="auto"/>
              <w:jc w:val="left"/>
            </w:pPr>
            <w:r>
              <w:rPr>
                <w:rFonts w:ascii="Times New Roman" w:hAnsi="Times New Roman"/>
                <w:sz w:val="18"/>
              </w:rPr>
              <w:t>One-Way ANOVA &amp; Kruskal-Wallis Test</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(Omnibus inference, df = 4, 4045)</w:t>
            </w:r>
          </w:p>
        </w:tc>
        <w:tc>
          <w:tcPr>
            <w:tcW w:type="dxa" w:w="1440"/>
          </w:tcPr>
          <w:p>
            <w:pPr>
              <w:spacing w:before="40" w:after="40" w:line="252" w:lineRule="auto"/>
              <w:jc w:val="left"/>
            </w:pPr>
            <w:r>
              <w:rPr>
                <w:rFonts w:ascii="Times New Roman" w:hAnsi="Times New Roman"/>
                <w:sz w:val="18"/>
              </w:rPr>
              <w:t>159–196 units (f = 0.25, α = 0.05, power = 80%)</w:t>
            </w:r>
          </w:p>
        </w:tc>
        <w:tc>
          <w:tcPr>
            <w:tcW w:type="dxa" w:w="1584"/>
          </w:tcPr>
          <w:p>
            <w:pPr>
              <w:spacing w:before="40" w:after="40" w:line="252" w:lineRule="auto"/>
              <w:jc w:val="left"/>
            </w:pPr>
            <w:r>
              <w:rPr>
                <w:rFonts w:ascii="Times New Roman" w:hAnsi="Times New Roman"/>
                <w:sz w:val="18"/>
              </w:rPr>
              <w:t>Exceeds minimum by &gt;20×; achieved power &gt;99.99%.</w:t>
            </w:r>
          </w:p>
        </w:tc>
      </w:tr>
      <w:tr>
        <w:tc>
          <w:tcPr>
            <w:tcW w:type="dxa" w:w="1728"/>
            <w:shd w:fill="FAFAFA"/>
          </w:tcPr>
          <w:p>
            <w:pPr>
              <w:spacing w:before="40" w:after="40" w:line="252" w:lineRule="auto"/>
              <w:jc w:val="left"/>
            </w:pPr>
            <w:r>
              <w:rPr>
                <w:rFonts w:ascii="Times New Roman" w:hAnsi="Times New Roman"/>
                <w:sz w:val="18"/>
              </w:rPr>
              <w:t>RQ2: Predictive Classification of High-Emission Units</w:t>
            </w:r>
          </w:p>
        </w:tc>
        <w:tc>
          <w:tcPr>
            <w:tcW w:type="dxa" w:w="1584"/>
            <w:shd w:fill="FAFAFA"/>
          </w:tcPr>
          <w:p>
            <w:pPr>
              <w:spacing w:before="40" w:after="40" w:line="252" w:lineRule="auto"/>
              <w:jc w:val="left"/>
            </w:pPr>
            <w:r>
              <w:rPr>
                <w:rFonts w:ascii="Times New Roman" w:hAnsi="Times New Roman"/>
                <w:sz w:val="18"/>
              </w:rPr>
              <w:t>Random Forest, Gradient Boosting, Logistic Regression</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3,240 records (80% stratified)</w:t>
            </w:r>
          </w:p>
        </w:tc>
        <w:tc>
          <w:tcPr>
            <w:tcW w:type="dxa" w:w="1584"/>
            <w:shd w:fill="FAFAFA"/>
          </w:tcPr>
          <w:p>
            <w:pPr>
              <w:spacing w:before="40" w:after="40" w:line="252" w:lineRule="auto"/>
              <w:jc w:val="left"/>
            </w:pPr>
            <w:r>
              <w:rPr>
                <w:rFonts w:ascii="Times New Roman" w:hAnsi="Times New Roman"/>
                <w:sz w:val="18"/>
              </w:rPr>
              <w:t>810 records (20% holdout: 204 High / 606 Low)</w:t>
            </w:r>
          </w:p>
        </w:tc>
        <w:tc>
          <w:tcPr>
            <w:tcW w:type="dxa" w:w="1440"/>
            <w:shd w:fill="FAFAFA"/>
          </w:tcPr>
          <w:p>
            <w:pPr>
              <w:spacing w:before="40" w:after="40" w:line="252" w:lineRule="auto"/>
              <w:jc w:val="left"/>
            </w:pPr>
            <w:r>
              <w:rPr>
                <w:rFonts w:ascii="Times New Roman" w:hAnsi="Times New Roman"/>
                <w:sz w:val="18"/>
              </w:rPr>
              <w:t>120–240 core / 716–1,432 full (10–20 EPV rule)</w:t>
            </w:r>
          </w:p>
        </w:tc>
        <w:tc>
          <w:tcPr>
            <w:tcW w:type="dxa" w:w="1584"/>
            <w:shd w:fill="FAFAFA"/>
          </w:tcPr>
          <w:p>
            <w:pPr>
              <w:spacing w:before="40" w:after="40" w:line="252" w:lineRule="auto"/>
              <w:jc w:val="left"/>
            </w:pPr>
            <w:r>
              <w:rPr>
                <w:rFonts w:ascii="Times New Roman" w:hAnsi="Times New Roman"/>
                <w:sz w:val="18"/>
              </w:rPr>
              <w:t>Exceeds minimum by 3×–13×; 5-fold CV prevents leakage.</w:t>
            </w:r>
          </w:p>
        </w:tc>
      </w:tr>
      <w:tr>
        <w:tc>
          <w:tcPr>
            <w:tcW w:type="dxa" w:w="1728"/>
          </w:tcPr>
          <w:p>
            <w:pPr>
              <w:spacing w:before="40" w:after="40" w:line="252" w:lineRule="auto"/>
              <w:jc w:val="left"/>
            </w:pPr>
            <w:r>
              <w:rPr>
                <w:rFonts w:ascii="Times New Roman" w:hAnsi="Times New Roman"/>
                <w:sz w:val="18"/>
              </w:rPr>
              <w:t>RQ3: Unit Age and Operational Thermal Intensity</w:t>
            </w:r>
          </w:p>
        </w:tc>
        <w:tc>
          <w:tcPr>
            <w:tcW w:type="dxa" w:w="1584"/>
          </w:tcPr>
          <w:p>
            <w:pPr>
              <w:spacing w:before="40" w:after="40" w:line="252" w:lineRule="auto"/>
              <w:jc w:val="left"/>
            </w:pPr>
            <w:r>
              <w:rPr>
                <w:rFonts w:ascii="Times New Roman" w:hAnsi="Times New Roman"/>
                <w:sz w:val="18"/>
              </w:rPr>
              <w:t>Bivariate &amp; Multivariate OLS Regressions</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(df = 4,046; residual diagnostics)</w:t>
            </w:r>
          </w:p>
        </w:tc>
        <w:tc>
          <w:tcPr>
            <w:tcW w:type="dxa" w:w="1440"/>
          </w:tcPr>
          <w:p>
            <w:pPr>
              <w:spacing w:before="40" w:after="40" w:line="252" w:lineRule="auto"/>
              <w:jc w:val="left"/>
            </w:pPr>
            <w:r>
              <w:rPr>
                <w:rFonts w:ascii="Times New Roman" w:hAnsi="Times New Roman"/>
                <w:sz w:val="18"/>
              </w:rPr>
              <w:t>300–782 units (Small-medium effect, r ≈ 0.1–0.3)</w:t>
            </w:r>
          </w:p>
        </w:tc>
        <w:tc>
          <w:tcPr>
            <w:tcW w:type="dxa" w:w="1584"/>
          </w:tcPr>
          <w:p>
            <w:pPr>
              <w:spacing w:before="40" w:after="40" w:line="252" w:lineRule="auto"/>
              <w:jc w:val="left"/>
            </w:pPr>
            <w:r>
              <w:rPr>
                <w:rFonts w:ascii="Times New Roman" w:hAnsi="Times New Roman"/>
                <w:sz w:val="18"/>
              </w:rPr>
              <w:t>Exceeds minimum by &gt;5×; highly stable slope SEs.</w:t>
            </w:r>
          </w:p>
        </w:tc>
      </w:tr>
      <w:tr>
        <w:tc>
          <w:tcPr>
            <w:tcW w:type="dxa" w:w="1728"/>
            <w:shd w:fill="FAFAFA"/>
          </w:tcPr>
          <w:p>
            <w:pPr>
              <w:spacing w:before="40" w:after="40" w:line="252" w:lineRule="auto"/>
              <w:jc w:val="left"/>
            </w:pPr>
            <w:r>
              <w:rPr>
                <w:rFonts w:ascii="Times New Roman" w:hAnsi="Times New Roman"/>
                <w:sz w:val="18"/>
              </w:rPr>
              <w:t>RQ4: Unsupervised Fleet Segmentation &amp; Archetype Profiling</w:t>
            </w:r>
          </w:p>
        </w:tc>
        <w:tc>
          <w:tcPr>
            <w:tcW w:type="dxa" w:w="1584"/>
            <w:shd w:fill="FAFAFA"/>
          </w:tcPr>
          <w:p>
            <w:pPr>
              <w:spacing w:before="40" w:after="40" w:line="252" w:lineRule="auto"/>
              <w:jc w:val="left"/>
            </w:pPr>
            <w:r>
              <w:rPr>
                <w:rFonts w:ascii="Times New Roman" w:hAnsi="Times New Roman"/>
                <w:sz w:val="18"/>
              </w:rPr>
              <w:t>K-Means Clustering &amp; 2D Principal Component Analysis</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4,050 records (Full population)</w:t>
            </w:r>
          </w:p>
        </w:tc>
        <w:tc>
          <w:tcPr>
            <w:tcW w:type="dxa" w:w="1584"/>
            <w:shd w:fill="FAFAFA"/>
          </w:tcPr>
          <w:p>
            <w:pPr>
              <w:spacing w:before="40" w:after="40" w:line="252" w:lineRule="auto"/>
              <w:jc w:val="left"/>
            </w:pPr>
            <w:r>
              <w:rPr>
                <w:rFonts w:ascii="Times New Roman" w:hAnsi="Times New Roman"/>
                <w:sz w:val="18"/>
              </w:rPr>
              <w:t>N/A (Fleet-wide centroid optimization)</w:t>
            </w:r>
          </w:p>
        </w:tc>
        <w:tc>
          <w:tcPr>
            <w:tcW w:type="dxa" w:w="1440"/>
            <w:shd w:fill="FAFAFA"/>
          </w:tcPr>
          <w:p>
            <w:pPr>
              <w:spacing w:before="40" w:after="40" w:line="252" w:lineRule="auto"/>
              <w:jc w:val="left"/>
            </w:pPr>
            <w:r>
              <w:rPr>
                <w:rFonts w:ascii="Times New Roman" w:hAnsi="Times New Roman"/>
                <w:sz w:val="18"/>
              </w:rPr>
              <w:t>≥ 160–300 units (≥ 10×–70× feature/cluster rule)</w:t>
            </w:r>
          </w:p>
        </w:tc>
        <w:tc>
          <w:tcPr>
            <w:tcW w:type="dxa" w:w="1584"/>
            <w:shd w:fill="FAFAFA"/>
          </w:tcPr>
          <w:p>
            <w:pPr>
              <w:spacing w:before="40" w:after="40" w:line="252" w:lineRule="auto"/>
              <w:jc w:val="left"/>
            </w:pPr>
            <w:r>
              <w:rPr>
                <w:rFonts w:ascii="Times New Roman" w:hAnsi="Times New Roman"/>
                <w:sz w:val="18"/>
              </w:rPr>
              <w:t>Exceeds minimum by &gt;13×; stable centroid separation.</w:t>
            </w:r>
          </w:p>
        </w:tc>
      </w:tr>
    </w:tbl>
    <w:p>
      <w:pPr>
        <w:spacing w:before="60" w:after="240"/>
      </w:pPr>
      <w:r>
        <w:rPr>
          <w:rFonts w:ascii="Times New Roman" w:hAnsi="Times New Roman"/>
          <w:i/>
          <w:sz w:val="18"/>
        </w:rPr>
        <w:t xml:space="preserve">Note. </w:t>
      </w:r>
      <w:r>
        <w:rPr>
          <w:rFonts w:ascii="Times New Roman" w:hAnsi="Times New Roman"/>
          <w:sz w:val="18"/>
        </w:rPr>
        <w:t>Minimum sample size computations (α = 0.05, power = 80%) and record allocations across RQ1–RQ4 confirming 100% data retention (N = 4,050).</w:t>
      </w:r>
    </w:p>
    <w:p>
      <w:pPr>
        <w:keepNext/>
        <w:spacing w:before="240" w:after="120"/>
        <w:jc w:val="left"/>
      </w:pPr>
      <w:r>
        <w:rPr>
          <w:rFonts w:ascii="Times New Roman" w:hAnsi="Times New Roman"/>
          <w:b/>
          <w:color w:val="19375F"/>
          <w:sz w:val="24"/>
        </w:rPr>
        <w:t>Exploratory Data Analysis (EDA) Results, Visualizations, and Respective Insights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visualizations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p>
      <w:pPr>
        <w:spacing w:after="120" w:line="276" w:lineRule="auto"/>
        <w:jc w:val="left"/>
      </w:pPr>
      <w:r>
        <w:rPr>
          <w:rFonts w:ascii="Times New Roman" w:hAnsi="Times New Roman"/>
          <w:i w:val="0"/>
          <w:sz w:val="22"/>
        </w:rPr>
        <w:t>Table 5 synthesizes the key empirical insights, operational interpretations, and analytical modeling decisions derived from the preceding exploratory visualizations and statistical distributions.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EDA Insight Summary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6 details the feature set utilized across the predictive and unsupervised modeling architectures, specifying original versus engineered derivation, data type, operational inclusion rationale, and model utilization.</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Feature Set and Usage Specification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7 summarizes the formal mathematical evaluation metrics utilized across the inferential, predictive, and clustering models, including exact algebraic formulas, statistical interpretations, and specific capstone applications.</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Evaluation Metrics and Mathematical Formulations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8,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Preliminary Model Performance Comparison (RQ2)</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Fleet Operational Archetypes and Environmental Risk Clusters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9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