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240"/>
        <w:jc w:val="center"/>
      </w:pPr>
      <w:r>
        <w:rPr>
          <w:rFonts w:ascii="Times New Roman" w:hAnsi="Times New Roman"/>
          <w:b/>
          <w:color w:val="0F2240"/>
          <w:sz w:val="30"/>
        </w:rPr>
        <w:t>Data Analytics Capstone</w:t>
      </w:r>
    </w:p>
    <w:p>
      <w:pPr>
        <w:spacing w:after="480"/>
        <w:jc w:val="center"/>
      </w:pPr>
      <w:r>
        <w:rPr>
          <w:rFonts w:ascii="Times New Roman" w:hAnsi="Times New Roman"/>
          <w:b/>
          <w:color w:val="0F2240"/>
          <w:sz w:val="32"/>
        </w:rPr>
        <w:t>Analysis of Facility and Unit Attributes under the EPA Clean Air Markets Program Using Statistical and Machine Learning Techniques</w:t>
      </w:r>
    </w:p>
    <w:p>
      <w:pPr>
        <w:spacing w:after="720"/>
        <w:jc w:val="center"/>
      </w:pPr>
      <w:r>
        <w:rPr>
          <w:rFonts w:ascii="Times New Roman" w:hAnsi="Times New Roman"/>
          <w:b/>
          <w:i/>
          <w:sz w:val="28"/>
        </w:rPr>
        <w:t>Final Report</w:t>
      </w:r>
    </w:p>
    <w:p>
      <w:pPr>
        <w:spacing w:after="120"/>
        <w:jc w:val="center"/>
      </w:pPr>
      <w:r>
        <w:rPr>
          <w:rFonts w:ascii="Times New Roman" w:hAnsi="Times New Roman"/>
          <w:b/>
          <w:sz w:val="24"/>
        </w:rPr>
        <w:t>Dhananjay Verma (Student ID: 0291493)</w:t>
      </w:r>
    </w:p>
    <w:p>
      <w:pPr>
        <w:spacing w:after="360"/>
        <w:jc w:val="center"/>
      </w:pPr>
      <w:r>
        <w:rPr>
          <w:rFonts w:ascii="Times New Roman" w:hAnsi="Times New Roman"/>
          <w:sz w:val="22"/>
        </w:rPr>
        <w:t>Walsh College</w:t>
        <w:br/>
        <w:t>Division of Mathematics and Computer Science</w:t>
      </w:r>
    </w:p>
    <w:p>
      <w:pPr>
        <w:spacing w:after="480"/>
        <w:jc w:val="center"/>
      </w:pPr>
      <w:r>
        <w:rPr>
          <w:rFonts w:ascii="Times New Roman" w:hAnsi="Times New Roman"/>
          <w:sz w:val="22"/>
        </w:rPr>
        <w:t>QM640 V1: Data Analytics Capstone</w:t>
        <w:br/>
        <w:t>Mentor Name: Dr. Javad Katibai</w:t>
        <w:br/>
        <w:t>Summer 2026 Term</w:t>
        <w:br/>
        <w:t>October 15, 2026</w:t>
      </w:r>
    </w:p>
    <w:p>
      <w:r>
        <w:br w:type="page"/>
      </w:r>
    </w:p>
    <w:p>
      <w:pPr>
        <w:keepNext/>
        <w:spacing w:before="320" w:after="160"/>
        <w:jc w:val="center"/>
      </w:pPr>
      <w:r>
        <w:rPr>
          <w:rFonts w:ascii="Times New Roman" w:hAnsi="Times New Roman"/>
          <w:b/>
          <w:color w:val="0F2240"/>
          <w:sz w:val="28"/>
        </w:rPr>
        <w:t>GitHub Repository, Data Files, and Standalone Declaration</w:t>
      </w:r>
    </w:p>
    <w:p>
      <w:pPr>
        <w:spacing w:after="120" w:line="276" w:lineRule="auto"/>
        <w:jc w:val="left"/>
      </w:pPr>
      <w:r>
        <w:rPr>
          <w:rFonts w:ascii="Times New Roman" w:hAnsi="Times New Roman"/>
          <w:i w:val="0"/>
          <w:sz w:val="22"/>
        </w:rPr>
        <w:t>In accordance with the QM640 Final Report formatting requirements ('After the title page, add your GitHub link with the data files and codes'), all raw datasets, processed analytical files, Python scripts, statistical outputs, and publication-grade figures are permanently archived and publicly accessible in the official project GitHub repository:</w:t>
      </w:r>
    </w:p>
    <w:p>
      <w:pPr>
        <w:spacing w:after="80" w:line="276" w:lineRule="auto"/>
        <w:jc w:val="left"/>
      </w:pPr>
      <w:r>
        <w:rPr>
          <w:rFonts w:ascii="Times New Roman" w:hAnsi="Times New Roman"/>
          <w:b/>
          <w:sz w:val="22"/>
        </w:rPr>
        <w:t xml:space="preserve">GitHub Repository Root: </w:t>
      </w:r>
      <w:r>
        <w:rPr>
          <w:rFonts w:ascii="Times New Roman" w:hAnsi="Times New Roman"/>
          <w:i w:val="0"/>
          <w:sz w:val="22"/>
        </w:rPr>
        <w:t>https://github.com/djmsritai-tech/QM640-Data-Analytics-Capstone</w:t>
      </w:r>
    </w:p>
    <w:p>
      <w:pPr>
        <w:spacing w:after="80" w:line="276" w:lineRule="auto"/>
        <w:jc w:val="left"/>
      </w:pPr>
      <w:r>
        <w:rPr>
          <w:rFonts w:ascii="Times New Roman" w:hAnsi="Times New Roman"/>
          <w:b/>
          <w:sz w:val="22"/>
        </w:rPr>
        <w:t xml:space="preserve">Raw Data File URL (facility-2025.csv): </w:t>
      </w:r>
      <w:r>
        <w:rPr>
          <w:rFonts w:ascii="Times New Roman" w:hAnsi="Times New Roman"/>
          <w:i w:val="0"/>
          <w:sz w:val="22"/>
        </w:rPr>
        <w:t>https://github.com/djmsritai-tech/QM640-Data-Analytics-Capstone/blob/main/data/raw/facility-2025.csv</w:t>
      </w:r>
    </w:p>
    <w:p>
      <w:pPr>
        <w:spacing w:after="80" w:line="276" w:lineRule="auto"/>
        <w:jc w:val="left"/>
      </w:pPr>
      <w:r>
        <w:rPr>
          <w:rFonts w:ascii="Times New Roman" w:hAnsi="Times New Roman"/>
          <w:b/>
          <w:sz w:val="22"/>
        </w:rPr>
        <w:t xml:space="preserve">Processed/Clean Data URL (facility_clean_processed.csv): </w:t>
      </w:r>
      <w:r>
        <w:rPr>
          <w:rFonts w:ascii="Times New Roman" w:hAnsi="Times New Roman"/>
          <w:i w:val="0"/>
          <w:sz w:val="22"/>
        </w:rPr>
        <w:t>https://github.com/djmsritai-tech/QM640-Data-Analytics-Capstone/blob/main/data/processed/facility_clean_processed.csv</w:t>
      </w:r>
    </w:p>
    <w:p>
      <w:pPr>
        <w:spacing w:after="80" w:line="276" w:lineRule="auto"/>
        <w:jc w:val="left"/>
      </w:pPr>
      <w:r>
        <w:rPr>
          <w:rFonts w:ascii="Times New Roman" w:hAnsi="Times New Roman"/>
          <w:b/>
          <w:sz w:val="22"/>
        </w:rPr>
        <w:t xml:space="preserve">Python Analytical &amp; Report Scripts: </w:t>
      </w:r>
      <w:r>
        <w:rPr>
          <w:rFonts w:ascii="Times New Roman" w:hAnsi="Times New Roman"/>
          <w:i w:val="0"/>
          <w:sz w:val="22"/>
        </w:rPr>
        <w:t>https://github.com/djmsritai-tech/QM640-Data-Analytics-Capstone/tree/main/scripts</w:t>
      </w:r>
    </w:p>
    <w:p>
      <w:pPr>
        <w:spacing w:after="200" w:line="276" w:lineRule="auto"/>
        <w:jc w:val="left"/>
      </w:pPr>
      <w:r>
        <w:rPr>
          <w:rFonts w:ascii="Times New Roman" w:hAnsi="Times New Roman"/>
          <w:b/>
          <w:sz w:val="22"/>
        </w:rPr>
        <w:t xml:space="preserve">High-Resolution Figures (300 DPI): </w:t>
      </w:r>
      <w:r>
        <w:rPr>
          <w:rFonts w:ascii="Times New Roman" w:hAnsi="Times New Roman"/>
          <w:i w:val="0"/>
          <w:sz w:val="22"/>
        </w:rPr>
        <w:t>https://github.com/djmsritai-tech/QM640-Data-Analytics-Capstone/tree/main/outputs/figures</w:t>
      </w:r>
    </w:p>
    <w:p>
      <w:pPr>
        <w:spacing w:before="120" w:after="160" w:line="276" w:lineRule="auto"/>
        <w:ind w:left="576" w:right="576"/>
      </w:pPr>
      <w:r>
        <w:rPr>
          <w:rFonts w:ascii="Times New Roman" w:hAnsi="Times New Roman"/>
          <w:b/>
          <w:color w:val="1E4678"/>
          <w:sz w:val="20"/>
        </w:rPr>
        <w:t>Repository Directory Architecture:</w:t>
        <w:br/>
      </w:r>
      <w:r>
        <w:rPr>
          <w:rFonts w:ascii="Times New Roman" w:hAnsi="Times New Roman"/>
          <w:i/>
          <w:sz w:val="20"/>
        </w:rPr>
        <w:t>QM640-Data-Analytics-Capstone/</w:t>
        <w:br/>
        <w:t>│</w:t>
        <w:br/>
        <w:t>├── data/</w:t>
        <w:br/>
        <w:t>│   ├── raw/</w:t>
        <w:br/>
        <w:t>│   │   └── facility-2025.csv             [Raw EPA CAMPD dataset: 4,050 rows, 30 columns]</w:t>
        <w:br/>
        <w:t>│   └── processed/</w:t>
        <w:br/>
        <w:t>│       └── facility_clean_processed.csv  [Engineered dataset: 4,050 rows, 45 columns]</w:t>
        <w:br/>
        <w:t>│</w:t>
        <w:br/>
        <w:t>├── scripts/</w:t>
        <w:br/>
        <w:t>│   ├── run_capstone_analytics.py         [End-to-end Python statistical &amp; ML pipeline]</w:t>
        <w:br/>
        <w:t>│   ├── build_full_interim_report.py      [APA 7 Interim Report generation script]</w:t>
        <w:br/>
        <w:t>│   └── build_full_final_report.py        [APA 7 Final Report generation script]</w:t>
        <w:br/>
        <w:t>│</w:t>
        <w:br/>
        <w:t>├── outputs/</w:t>
        <w:br/>
        <w:t>│   ├── analytics_results.json            [Complete JSON export of test statistics &amp; metrics]</w:t>
        <w:br/>
        <w:t>│   └── figures/                          [11 publication-grade PNG figures at 300 DPI]</w:t>
        <w:br/>
        <w:t>│</w:t>
        <w:br/>
        <w:t>└── reports/</w:t>
        <w:br/>
        <w:t xml:space="preserve">    ├── QM 640_Interim_Report_DhananjayVerma-0291493.docx &amp; .pdf</w:t>
        <w:br/>
        <w:t xml:space="preserve">    └── QM 640_Final_Report_DhananjayVerma-0291493.docx &amp; .pdf</w:t>
      </w:r>
    </w:p>
    <w:p>
      <w:pPr>
        <w:spacing w:before="120" w:after="160" w:line="276" w:lineRule="auto"/>
        <w:ind w:left="576" w:right="576"/>
      </w:pPr>
      <w:r>
        <w:rPr>
          <w:rFonts w:ascii="Times New Roman" w:hAnsi="Times New Roman"/>
          <w:b/>
          <w:color w:val="1E4678"/>
          <w:sz w:val="20"/>
        </w:rPr>
        <w:t xml:space="preserve">Standalone Publication Notice: </w:t>
      </w:r>
      <w:r>
        <w:rPr>
          <w:rFonts w:ascii="Times New Roman" w:hAnsi="Times New Roman"/>
          <w:i/>
          <w:sz w:val="20"/>
        </w:rPr>
        <w:t>The Final Report is constructed as an autonomous, standalone publication-grade manuscript. Although it builds upon the research trajectory established during the Capstone Synopsis and Interim Report phases, zero external dependency is assumed. All domain contexts, data dictionaries, mathematical formulations, statistical power proofs, system architecture diagrams, empirical evaluations, deployment blueprints, and code listings (Appendices A–D) are self-contained herein.</w:t>
      </w:r>
    </w:p>
    <w:p>
      <w:pPr>
        <w:keepNext/>
        <w:spacing w:before="320" w:after="160"/>
        <w:jc w:val="center"/>
      </w:pPr>
      <w:r>
        <w:rPr>
          <w:rFonts w:ascii="Times New Roman" w:hAnsi="Times New Roman"/>
          <w:b/>
          <w:color w:val="0F2240"/>
          <w:sz w:val="28"/>
        </w:rPr>
        <w:t>Abstract</w:t>
      </w:r>
    </w:p>
    <w:p>
      <w:pPr>
        <w:spacing w:after="120" w:line="276" w:lineRule="auto"/>
        <w:jc w:val="left"/>
      </w:pPr>
      <w:r>
        <w:rPr>
          <w:rFonts w:ascii="Times New Roman" w:hAnsi="Times New Roman"/>
          <w:i w:val="0"/>
          <w:sz w:val="22"/>
        </w:rPr>
        <w:t>Stationary fossil-fuel electric power generating facilities regulated under the United States Environmental Protection Agency (EPA) Clean Air Markets Program (CAMP) exhibit massive heterogeneity in thermal combustion intensity, installed electrical capacity, boiler vintage, and pollution abatement hardware. Traditional regulatory compliance auditing frequently relies on coarse fuel-level classifications, failing to capture non-linear multidimensional interactions among boiler design, unit age, regional regulatory regimes, and multi-pollutant scrubber adoption. To address this operational gap, this study develops an integrated, end-to-end statistical, econometric, and machine learning framework analyzing the complete 2025 EPA Clean Air Markets Program Data (CAMPD) bulk dataset comprising N = 4,050 generating units across 1,328 unique power plants in 52 U.S. jurisdictions. Zero records were discarded through domain-informed regex capacity parsing and unit-technology median imputation. Four core analytical methodologies were executed: (1) parametric One-Way Analysis of Variance (ANOVA) and non-parametric Kruskal-Wallis rank testing to evaluate fuel-driven thermal disparities; (2) supervised binary classification utilizing L2-regularized Logistic Regression, Random Forest (150 trees), and Gradient Boosting (100 trees) evaluated on a stratified 80% training set (N = 3,240, 5-fold cross-validation) and 20% holdout test set (N = 810) to predict top-quartile high-emission units (Max Hourly Heat Input Rate &gt;= 2,350.0 mmBtu/hr); (3) bivariate and multivariate Ordinary Least Squares (OLS) regressions quantifying unit vintage and scale effects; and (4) unsupervised K-Means clustering coupled with two-dimensional Principal Component Analysis (PCA) to segment the national fleet. Empirical results prove that primary fuel category explains 34.91% of total thermal variance (F = 542.36, p &lt; 0.0001; H = 783.02, p &lt; 0.0001), with coal units averaging 5,221.2 mmBtu/hr versus 1,553.0 mmBtu/hr for natural gas. In holdout testing, Gradient Boosting achieved 96.54% accuracy, 94.44% precision, F1 = 0.9303, and ROC-AUC = 0.9865, while Random Forest achieved 93.14% sensitivity (identifying 190 of 204 high emitters, ROC-AUC = 0.9851), substantially outperforming baseline linear classification (89.14% accuracy, F1 = 0.8053). Multivariate OLS explained 76.68% of thermal variance (F = 4,435.0, p &lt; 0.0001), and K-Means identified k = 4 cohesive fleet archetypes (Silhouette = 0.4431, PCA variance = 80.19%), isolating 414 aging coal baseload units with an 86.0% high-emitter rate for targeted EPA compliance auditing and utility retirement planning.</w:t>
      </w:r>
    </w:p>
    <w:p>
      <w:pPr>
        <w:spacing w:after="60" w:line="276" w:lineRule="auto"/>
        <w:jc w:val="left"/>
      </w:pPr>
      <w:r>
        <w:rPr>
          <w:rFonts w:ascii="Times New Roman" w:hAnsi="Times New Roman"/>
          <w:b/>
          <w:sz w:val="22"/>
        </w:rPr>
        <w:t xml:space="preserve">Problem: </w:t>
      </w:r>
      <w:r>
        <w:rPr>
          <w:rFonts w:ascii="Times New Roman" w:hAnsi="Times New Roman"/>
          <w:i w:val="0"/>
          <w:sz w:val="22"/>
        </w:rPr>
        <w:t>Stationary power generation units exhibit complex, non-linear operational and emission-risk disparities across fuel types, boiler technologies, and unit vintages that simple regulatory heuristics fail to predict or segment accurately.</w:t>
      </w:r>
    </w:p>
    <w:p>
      <w:pPr>
        <w:spacing w:after="60" w:line="276" w:lineRule="auto"/>
        <w:jc w:val="left"/>
      </w:pPr>
      <w:r>
        <w:rPr>
          <w:rFonts w:ascii="Times New Roman" w:hAnsi="Times New Roman"/>
          <w:b/>
          <w:sz w:val="22"/>
        </w:rPr>
        <w:t xml:space="preserve">Solution Approach: </w:t>
      </w:r>
      <w:r>
        <w:rPr>
          <w:rFonts w:ascii="Times New Roman" w:hAnsi="Times New Roman"/>
          <w:i w:val="0"/>
          <w:sz w:val="22"/>
        </w:rPr>
        <w:t>An end-to-end four-tier quantitative pipeline combining parametric/non-parametric inferential hypothesis testing (One-Way ANOVA, Kruskal-Wallis, Tukey HSD), supervised ensemble machine learning (Random Forest, Gradient Boosting, Ridge Logistic Regression), multivariate OLS econometrics, and unsupervised K-Means clustering with 2D PCA projection.</w:t>
      </w:r>
    </w:p>
    <w:p>
      <w:pPr>
        <w:spacing w:after="60" w:line="276" w:lineRule="auto"/>
        <w:jc w:val="left"/>
      </w:pPr>
      <w:r>
        <w:rPr>
          <w:rFonts w:ascii="Times New Roman" w:hAnsi="Times New Roman"/>
          <w:b/>
          <w:sz w:val="22"/>
        </w:rPr>
        <w:t xml:space="preserve">Data: </w:t>
      </w:r>
      <w:r>
        <w:rPr>
          <w:rFonts w:ascii="Times New Roman" w:hAnsi="Times New Roman"/>
          <w:i w:val="0"/>
          <w:sz w:val="22"/>
        </w:rPr>
        <w:t>U.S. EPA Clean Air Markets Program Data (CAMPD) 2025 Facility/Unit Attributes bulk dataset (facility-2025.csv), encompassing N = 4,050 electric power generating units across 1,328 facilities (30 raw attributes expanded to 45 engineered features; 100% data retention).</w:t>
      </w:r>
    </w:p>
    <w:p>
      <w:pPr>
        <w:spacing w:after="60" w:line="276" w:lineRule="auto"/>
        <w:jc w:val="left"/>
      </w:pPr>
      <w:r>
        <w:rPr>
          <w:rFonts w:ascii="Times New Roman" w:hAnsi="Times New Roman"/>
          <w:b/>
          <w:sz w:val="22"/>
        </w:rPr>
        <w:t xml:space="preserve">Technology: </w:t>
      </w:r>
      <w:r>
        <w:rPr>
          <w:rFonts w:ascii="Times New Roman" w:hAnsi="Times New Roman"/>
          <w:i w:val="0"/>
          <w:sz w:val="22"/>
        </w:rPr>
        <w:t>Python 3.11 scientific computing stack (Pandas, NumPy, SciPy, Statsmodels, Scikit-Learn, Matplotlib, Seaborn, Python-Docx) executed on a multi-core CPU workstation.</w:t>
      </w:r>
    </w:p>
    <w:p>
      <w:pPr>
        <w:spacing w:after="60" w:line="276" w:lineRule="auto"/>
        <w:jc w:val="left"/>
      </w:pPr>
      <w:r>
        <w:rPr>
          <w:rFonts w:ascii="Times New Roman" w:hAnsi="Times New Roman"/>
          <w:b/>
          <w:sz w:val="22"/>
        </w:rPr>
        <w:t xml:space="preserve">Major Results: </w:t>
      </w:r>
      <w:r>
        <w:rPr>
          <w:rFonts w:ascii="Times New Roman" w:hAnsi="Times New Roman"/>
          <w:i w:val="0"/>
          <w:sz w:val="22"/>
        </w:rPr>
        <w:t>Gradient Boosting achieved 96.54% test accuracy, 94.44% precision, F1 = 0.9303, and ROC-AUC = 0.9865 (+12.50% F1 improvement over linear baseline); Random Forest achieved 93.14% recall and ROC-AUC = 0.9851; Multivariate OLS achieved R² = 0.7668; K-Means (k = 4) captured 80.19% PCA variance.</w:t>
      </w:r>
    </w:p>
    <w:p>
      <w:pPr>
        <w:spacing w:after="240" w:line="276" w:lineRule="auto"/>
        <w:jc w:val="left"/>
      </w:pPr>
      <w:r>
        <w:rPr>
          <w:rFonts w:ascii="Times New Roman" w:hAnsi="Times New Roman"/>
          <w:b/>
          <w:sz w:val="22"/>
        </w:rPr>
        <w:t xml:space="preserve">Implementation Area: </w:t>
      </w:r>
      <w:r>
        <w:rPr>
          <w:rFonts w:ascii="Times New Roman" w:hAnsi="Times New Roman"/>
          <w:i w:val="0"/>
          <w:sz w:val="22"/>
        </w:rPr>
        <w:t>Federal and state environmental compliance auditing (U.S. EPA Regions 1–10), continuous emission monitoring system (CEMS) anomaly surveillance, and electric utility integrated resource planning (IRP) for coal-to-gas asset retirement.</w:t>
      </w:r>
    </w:p>
    <w:p>
      <w:r>
        <w:br w:type="page"/>
      </w:r>
    </w:p>
    <w:p>
      <w:pPr>
        <w:keepNext/>
        <w:spacing w:before="320" w:after="160"/>
        <w:jc w:val="center"/>
      </w:pPr>
      <w:r>
        <w:rPr>
          <w:rFonts w:ascii="Times New Roman" w:hAnsi="Times New Roman"/>
          <w:b/>
          <w:color w:val="0F2240"/>
          <w:sz w:val="28"/>
        </w:rPr>
        <w:t>1. Introduction</w:t>
      </w:r>
    </w:p>
    <w:p>
      <w:pPr>
        <w:keepNext/>
        <w:spacing w:before="240" w:after="120"/>
        <w:jc w:val="left"/>
      </w:pPr>
      <w:r>
        <w:rPr>
          <w:rFonts w:ascii="Times New Roman" w:hAnsi="Times New Roman"/>
          <w:b/>
          <w:color w:val="19375F"/>
          <w:sz w:val="24"/>
        </w:rPr>
        <w:t>Background and Context</w:t>
      </w:r>
    </w:p>
    <w:p>
      <w:pPr>
        <w:spacing w:after="120" w:line="276" w:lineRule="auto"/>
        <w:jc w:val="left"/>
      </w:pPr>
      <w:r>
        <w:rPr>
          <w:rFonts w:ascii="Times New Roman" w:hAnsi="Times New Roman"/>
          <w:i w:val="0"/>
          <w:sz w:val="22"/>
        </w:rPr>
        <w:t>Atmospheric pollution originating from stationary fossil-fuel combustion sources remains one of the most consequential environmental, public health, and regulatory challenges in the United States. Electric utility and industrial power generating facilities combusting bituminous coal, sub-bituminous coal, lignite, pipeline natural gas, and distillate or residual fuel oils represent the nation's largest point sources of criteria air pollutants and hazardous air toxics. Specifically, high-temperature boiler and turbine combustion processes release sulfur dioxide (SO₂), nitrogen oxides (NOₓ), filterable and condensable particulate matter (PM₂.₅ and PM₁₀), elemental and oxidized mercury (Hg), and greenhouse gases (CO₂). Extensive epidemiological and environmental economics research has established that ambient exposure to fine sulfate and nitrate aerosols—formed via atmospheric oxidation of SO₂ and NOₓ—induces severe cardiopulmonary morbidity, premature mortality, acid deposition in aquatic ecosystems, and regional visibility impairment (Harrington et al., 2004; Burtraw et al., 2012).</w:t>
      </w:r>
    </w:p>
    <w:p>
      <w:pPr>
        <w:spacing w:after="120" w:line="276" w:lineRule="auto"/>
        <w:jc w:val="left"/>
      </w:pPr>
      <w:r>
        <w:rPr>
          <w:rFonts w:ascii="Times New Roman" w:hAnsi="Times New Roman"/>
          <w:i w:val="0"/>
          <w:sz w:val="22"/>
        </w:rPr>
        <w:t>To mitigate these environmental externalities cost-effectively, the U.S. Congress and the United States Environmental Protection Agency (EPA) instituted landmark market-based cap-and-trade and command-and-control frameworks under Title IV and Title I of the Clean Air Act Amendments of 1990. These statutory programs include the Acid Rain Program (ARP), the Cross-State Air Pollution Rule (CSAPR, encompassing the CSNOX, CSNOXOS, and CSSO2G1/G2 trading groups), the Mercury and Air Toxics Standards (MATS), and the Regional Greenhouse Gas Initiative (RGGI). The operational backbone of these regulatory instruments is the EPA Clean Air Markets Program (CAMP), which mandates that regulated power plants install, calibrate, and operate automated Continuous Emission Monitoring Systems (CEMS) in strict compliance with 40 CFR Part 75 (U.S. EPA, 2024). Through CAMPD, the federal government maintains an authoritative, unit-level registry documenting physical boiler design, nameplate electrical capacity, maximum hourly thermal heat input rate, commercial operation date, primary and secondary fuel types, and installed pollution abatement technologies.</w:t>
      </w:r>
    </w:p>
    <w:p>
      <w:pPr>
        <w:spacing w:after="120" w:line="276" w:lineRule="auto"/>
        <w:jc w:val="left"/>
      </w:pPr>
      <w:r>
        <w:rPr>
          <w:rFonts w:ascii="Times New Roman" w:hAnsi="Times New Roman"/>
          <w:i w:val="0"/>
          <w:sz w:val="22"/>
        </w:rPr>
        <w:t>The operational setting of this research is the contemporary United States bulk electric power system during the calendar year 2025. Over the past two decades, the U.S. generating fleet has undergone a profound structural transformation driven by declining natural gas prices, renewable portfolio standards, and stringent environmental compliance costs (Schmalensee &amp; Stavins, 2017; Ellis et al., 2019). This transition has produced a highly bifurcated fleet architecture: aging, large-scale subcritical and supercritical coal-fired steam boilers commissioned prior to 1985 operate alongside a rapidly expanding cohort of modern natural gas combined cycle (NGCC) plants and fast-ramping simple-cycle combustion turbines designed to balance intermittent wind and solar generation. Concurrently, legacy steam units that remain active have been heavily retrofitted with multi-stage post-combustion abatement hardware—such as wet limestone flue gas desulfurization (FGD) scrubbers, selective catalytic reduction (SCR) systems, electrostatic precipitators (ESP), fabric filter baghouses, and activated carbon injection (ACI)—creating intricate dependencies between unit age, physical scale, and environmental compliance.</w:t>
      </w:r>
    </w:p>
    <w:p>
      <w:pPr>
        <w:spacing w:after="120" w:line="276" w:lineRule="auto"/>
        <w:jc w:val="left"/>
      </w:pPr>
      <w:r>
        <w:rPr>
          <w:rFonts w:ascii="Times New Roman" w:hAnsi="Times New Roman"/>
          <w:i w:val="0"/>
          <w:sz w:val="22"/>
        </w:rPr>
        <w:t>Within this regulatory and operational landscape, key stakeholders include federal EPA enforcement directors across Regions 1 through 10, state departments of environmental quality, Independent System Operators (ISOs) and Regional Transmission Organizations (RTOs), electric utility fleet engineers, and environmental, social, and governance (ESG) institutional analysts. For these stakeholders, accurately quantifying the drivers of thermal combustion capacity, predicting which generating units pose acute high-emission risks, and classifying the heterogeneous 4,050-unit fleet into actionable operational archetypes are vital prerequisites for allocating finite field inspection budgets, ensuring grid reliability during peak seasonal demand, and structuring orderly asset retirement schedules.</w:t>
      </w:r>
    </w:p>
    <w:p>
      <w:pPr>
        <w:keepNext/>
        <w:spacing w:before="240" w:after="120"/>
        <w:jc w:val="left"/>
      </w:pPr>
      <w:r>
        <w:rPr>
          <w:rFonts w:ascii="Times New Roman" w:hAnsi="Times New Roman"/>
          <w:b/>
          <w:color w:val="19375F"/>
          <w:sz w:val="24"/>
        </w:rPr>
        <w:t>Problem Statement (Single, Measurable; Include Y and X)</w:t>
      </w:r>
    </w:p>
    <w:p>
      <w:pPr>
        <w:spacing w:after="160" w:line="276" w:lineRule="auto"/>
        <w:jc w:val="left"/>
      </w:pPr>
      <w:r>
        <w:rPr>
          <w:rFonts w:ascii="Times New Roman" w:hAnsi="Times New Roman"/>
          <w:b/>
          <w:sz w:val="22"/>
        </w:rPr>
        <w:t xml:space="preserve">Formal Measurable Problem Statement: </w:t>
      </w:r>
      <w:r>
        <w:rPr>
          <w:rFonts w:ascii="Times New Roman" w:hAnsi="Times New Roman"/>
          <w:i w:val="0"/>
          <w:sz w:val="22"/>
        </w:rPr>
        <w:t>The objective of this study is to explain, predict, and segment Y = maximum hourly thermal heat input capacity (Max Hourly HI Rate, measured continuously in mmBtu/hr) and binary top-quartile high-emission compliance status (High_Emitter ∈ {0, 1}, defined as Heat Input Rate &gt;= 2,350.0 mmBtu/hr) for electric power generating units (N = 4,050 units across 1,328 U.S. facilities) using X = primary fuel category, unit combustion technology, installed electrical nameplate capacity (Capacity_MW), operating vintage (Unit_Age), multi-pollutant abatement hardware density (Control_Count), and EPA regional jurisdiction over the 2025 reporting period. Success will be evaluated using One-Way ANOVA F-statistics, Eta-squared (η²) effect size, and Kruskal-Wallis H-statistics for fuel variance; holdout test Accuracy, Precision, Recall, F1-Score, and Receiver Operating Characteristic Area Under the Curve (ROC-AUC) for classification; Coefficient of Determination (R²), Adjusted R², and Root Mean Squared Error (RMSE) for econometric regression; and Within-Cluster Sum of Squares (WCSS), Silhouette Coefficient, and Cumulative Explained Variance (%) for unsupervised segmentation.</w:t>
      </w:r>
    </w:p>
    <w:p>
      <w:pPr>
        <w:spacing w:after="120" w:line="276" w:lineRule="auto"/>
        <w:jc w:val="left"/>
      </w:pPr>
      <w:r>
        <w:rPr>
          <w:rFonts w:ascii="Times New Roman" w:hAnsi="Times New Roman"/>
          <w:i w:val="0"/>
          <w:sz w:val="22"/>
        </w:rPr>
        <w:t>Despite the availability of rich unit-level attribute registries under CAMPD, conventional regulatory oversight often relies on static, univariate rules of thumb—such as auditing facilities solely by fuel type or raw megawatt rating—without accounting for the confounding effects of thermodynamic cycle efficiency, unit grandfathering, and scrubber retrofits. When regulatory agencies lack validated predictive classifiers and multidimensional fleet taxonomies, compliance surveillance becomes either overly broad (wasting inspection resources on low-risk peaking turbines) or overly narrow (failing to detect high-intensity intermediate boilers). Resolving this analytical gap requires a unified framework that bridges classical parametric/non-parametric inference with modern ensemble machine learning and unsupervised pattern recognition.</w:t>
      </w:r>
    </w:p>
    <w:p>
      <w:pPr>
        <w:keepNext/>
        <w:spacing w:before="240" w:after="120"/>
        <w:jc w:val="left"/>
      </w:pPr>
      <w:r>
        <w:rPr>
          <w:rFonts w:ascii="Times New Roman" w:hAnsi="Times New Roman"/>
          <w:b/>
          <w:color w:val="19375F"/>
          <w:sz w:val="24"/>
        </w:rPr>
        <w:t>Purpose of the Study</w:t>
      </w:r>
    </w:p>
    <w:p>
      <w:pPr>
        <w:spacing w:after="120" w:line="276" w:lineRule="auto"/>
        <w:jc w:val="left"/>
      </w:pPr>
      <w:r>
        <w:rPr>
          <w:rFonts w:ascii="Times New Roman" w:hAnsi="Times New Roman"/>
          <w:i w:val="0"/>
          <w:sz w:val="22"/>
        </w:rPr>
        <w:t>The purpose of this capstone study is to design, execute, and validate a comprehensive multi-tier data analytics pipeline on the complete 2025 U.S. EPA Clean Air Markets Program facility dataset (N = 4,050 units). Specifically, the study aims to: (1) statistically explain and quantify the variance in thermal combustion capacity across primary fuel categories using both parametric and rank-based non-parametric tests; (2) train, cross-validate, and benchmark supervised machine learning classifiers (Logistic Regression, Random Forest, and Gradient Boosting) to predict high-emission generating units and rank the underlying physical and regulatory drivers; (3) estimate bivariate and multivariate econometric regression models isolating the net effect of unit vintage (age) from installed capacity and pollution control retrofits; and (4) segment the national power fleet into cohesive, mathematically validated operational archetypes via K-Means clustering and Principal Component Analysis (PCA) to guide real-world regulatory enforcement and utility resource planning.</w:t>
      </w:r>
    </w:p>
    <w:p>
      <w:pPr>
        <w:keepNext/>
        <w:spacing w:before="240" w:after="120"/>
        <w:jc w:val="left"/>
      </w:pPr>
      <w:r>
        <w:rPr>
          <w:rFonts w:ascii="Times New Roman" w:hAnsi="Times New Roman"/>
          <w:b/>
          <w:color w:val="19375F"/>
          <w:sz w:val="24"/>
        </w:rPr>
        <w:t>Research Problems / Research Questions</w:t>
      </w:r>
    </w:p>
    <w:p>
      <w:pPr>
        <w:spacing w:after="120" w:line="276" w:lineRule="auto"/>
        <w:jc w:val="left"/>
      </w:pPr>
      <w:r>
        <w:rPr>
          <w:rFonts w:ascii="Times New Roman" w:hAnsi="Times New Roman"/>
          <w:i w:val="0"/>
          <w:sz w:val="22"/>
        </w:rPr>
        <w:t>To fulfill the study's purpose and operationalize the problem statement, four specific research questions (RQ1–RQ4) are formally investigated across the 4,050 regulated generating units:</w:t>
      </w:r>
    </w:p>
    <w:p>
      <w:pPr>
        <w:spacing w:after="120" w:line="276" w:lineRule="auto"/>
        <w:jc w:val="left"/>
      </w:pPr>
      <w:r>
        <w:rPr>
          <w:rFonts w:ascii="Times New Roman" w:hAnsi="Times New Roman"/>
          <w:b/>
          <w:sz w:val="22"/>
        </w:rPr>
        <w:t xml:space="preserve">Research Question 1 (RQ1 — Inferential Variance Analysis): </w:t>
      </w:r>
      <w:r>
        <w:rPr>
          <w:rFonts w:ascii="Times New Roman" w:hAnsi="Times New Roman"/>
          <w:i w:val="0"/>
          <w:sz w:val="22"/>
        </w:rPr>
        <w:t>Do facility and unit attributes—specifically primary fuel category (Coal, Natural Gas, Oil/Diesel, Biomass, Other) and boiler/turbine technology—significantly influence maximum hourly heat input rates (mmBtu/hr) across the U.S. electric power fleet, and what proportion of total thermal variance is attributable to fuel selection?</w:t>
      </w:r>
    </w:p>
    <w:p>
      <w:pPr>
        <w:spacing w:after="120" w:line="276" w:lineRule="auto"/>
        <w:jc w:val="left"/>
      </w:pPr>
      <w:r>
        <w:rPr>
          <w:rFonts w:ascii="Times New Roman" w:hAnsi="Times New Roman"/>
          <w:b/>
          <w:sz w:val="22"/>
        </w:rPr>
        <w:t xml:space="preserve">Research Question 2 (RQ2 — Supervised Risk Classification): </w:t>
      </w:r>
      <w:r>
        <w:rPr>
          <w:rFonts w:ascii="Times New Roman" w:hAnsi="Times New Roman"/>
          <w:i w:val="0"/>
          <w:sz w:val="22"/>
        </w:rPr>
        <w:t>Can supervised machine learning algorithms trained on unit-level physical and regulatory attributes (installed electrical capacity, operating vintage, pollution control count, fuel category, unit technology, and EPA region) accurately classify and predict high-emission generating units (upper quartile, Max Hourly HI Rate &gt;= 2,350.0 mmBtu/hr), and which features contribute most to predictive discrimination?</w:t>
      </w:r>
    </w:p>
    <w:p>
      <w:pPr>
        <w:spacing w:after="120" w:line="276" w:lineRule="auto"/>
        <w:jc w:val="left"/>
      </w:pPr>
      <w:r>
        <w:rPr>
          <w:rFonts w:ascii="Times New Roman" w:hAnsi="Times New Roman"/>
          <w:b/>
          <w:sz w:val="22"/>
        </w:rPr>
        <w:t xml:space="preserve">Research Question 3 (RQ3 — Econometric Vintage &amp; Scale Modeling): </w:t>
      </w:r>
      <w:r>
        <w:rPr>
          <w:rFonts w:ascii="Times New Roman" w:hAnsi="Times New Roman"/>
          <w:i w:val="0"/>
          <w:sz w:val="22"/>
        </w:rPr>
        <w:t>What is the direction, magnitude, and statistical significance of the relationship between generating unit age (years since commercial operation) and operational thermal intensity in both bivariate analyses and multivariate regressions controlling for nameplate capacity and pollution abatement equipment?</w:t>
      </w:r>
    </w:p>
    <w:p>
      <w:pPr>
        <w:spacing w:after="200" w:line="276" w:lineRule="auto"/>
        <w:jc w:val="left"/>
      </w:pPr>
      <w:r>
        <w:rPr>
          <w:rFonts w:ascii="Times New Roman" w:hAnsi="Times New Roman"/>
          <w:b/>
          <w:sz w:val="22"/>
        </w:rPr>
        <w:t xml:space="preserve">Research Question 4 (RQ4 — Unsupervised Fleet Segmentation): </w:t>
      </w:r>
      <w:r>
        <w:rPr>
          <w:rFonts w:ascii="Times New Roman" w:hAnsi="Times New Roman"/>
          <w:i w:val="0"/>
          <w:sz w:val="22"/>
        </w:rPr>
        <w:t>Can the heterogeneous national generating fleet of 4,050 units be partitioned via unsupervised clustering and dimensionality reduction into distinct, internally cohesive operational and environmental-risk archetypes that support tiered regulatory auditing?</w:t>
      </w:r>
    </w:p>
    <w:p>
      <w:pPr>
        <w:keepNext/>
        <w:spacing w:before="240" w:after="120"/>
        <w:jc w:val="left"/>
      </w:pPr>
      <w:r>
        <w:rPr>
          <w:rFonts w:ascii="Times New Roman" w:hAnsi="Times New Roman"/>
          <w:b/>
          <w:color w:val="19375F"/>
          <w:sz w:val="24"/>
        </w:rPr>
        <w:t>Contributions and Expected Value</w:t>
      </w:r>
    </w:p>
    <w:p>
      <w:pPr>
        <w:spacing w:after="120" w:line="276" w:lineRule="auto"/>
        <w:jc w:val="left"/>
      </w:pPr>
      <w:r>
        <w:rPr>
          <w:rFonts w:ascii="Times New Roman" w:hAnsi="Times New Roman"/>
          <w:b/>
          <w:sz w:val="22"/>
        </w:rPr>
        <w:t xml:space="preserve">Practical Contribution: </w:t>
      </w:r>
      <w:r>
        <w:rPr>
          <w:rFonts w:ascii="Times New Roman" w:hAnsi="Times New Roman"/>
          <w:i w:val="0"/>
          <w:sz w:val="22"/>
        </w:rPr>
        <w:t>This study delivers an immediately deployable, data-driven compliance screening tool that enables environmental regulators and utility managers to transition from manual spreadsheet filtering to automated probabilistic risk scoring. By isolating the exact physical thresholds and technology combinations associated with top-quartile thermal loading, the framework streamlines environmental audit scheduling and identifies aging, uncontrolled steam units primed for economic retirement.</w:t>
      </w:r>
    </w:p>
    <w:p>
      <w:pPr>
        <w:spacing w:after="120" w:line="276" w:lineRule="auto"/>
        <w:jc w:val="left"/>
      </w:pPr>
      <w:r>
        <w:rPr>
          <w:rFonts w:ascii="Times New Roman" w:hAnsi="Times New Roman"/>
          <w:b/>
          <w:sz w:val="22"/>
        </w:rPr>
        <w:t xml:space="preserve">Technical Contribution (Methods/Models): </w:t>
      </w:r>
      <w:r>
        <w:rPr>
          <w:rFonts w:ascii="Times New Roman" w:hAnsi="Times New Roman"/>
          <w:i w:val="0"/>
          <w:sz w:val="22"/>
        </w:rPr>
        <w:t>From a methodological perspective, this capstone demonstrates the analytical synergy of integrating four distinct paradigms—parametric/rank ANOVA with Tukey HSD post-hoc contrasts, L2-regularized and tree-ensemble classifiers (Random Forest and Gradient Boosting) with stratified k-fold cross-validation, Gauss-Markov OLS econometric regressions uncovering confounding variable reversals (Simpson's/omitted-variable dynamics), and log-standardized K-Means clustering paired with orthogonal PCA projection—within a reproducible, zero-data-loss Python software architecture.</w:t>
      </w:r>
    </w:p>
    <w:p>
      <w:pPr>
        <w:spacing w:after="240" w:line="276" w:lineRule="auto"/>
        <w:jc w:val="left"/>
      </w:pPr>
      <w:r>
        <w:rPr>
          <w:rFonts w:ascii="Times New Roman" w:hAnsi="Times New Roman"/>
          <w:b/>
          <w:sz w:val="22"/>
        </w:rPr>
        <w:t xml:space="preserve">Value to Stakeholders and Target Users: </w:t>
      </w:r>
      <w:r>
        <w:rPr>
          <w:rFonts w:ascii="Times New Roman" w:hAnsi="Times New Roman"/>
          <w:i w:val="0"/>
          <w:sz w:val="22"/>
        </w:rPr>
        <w:t>For EPA regional enforcement officers, the models provide high-sensitivity (93.14% recall) and high-precision (94.44% precision) screening of high-emission units, minimizing false-negative regulatory oversights and false-positive inspection costs. For electric utility planners and ISO grid operators, the four empirical fleet clusters establish objective peer benchmarks for evaluating heat rate efficiency, scrubber capital intensity, and baseload-to-peaking transition risk.</w:t>
      </w:r>
    </w:p>
    <w:p>
      <w:pPr>
        <w:keepNext/>
        <w:spacing w:before="320" w:after="160"/>
        <w:jc w:val="center"/>
      </w:pPr>
      <w:r>
        <w:rPr>
          <w:rFonts w:ascii="Times New Roman" w:hAnsi="Times New Roman"/>
          <w:b/>
          <w:color w:val="0F2240"/>
          <w:sz w:val="28"/>
        </w:rPr>
        <w:t>2. Literature Review</w:t>
      </w:r>
    </w:p>
    <w:p>
      <w:pPr>
        <w:keepNext/>
        <w:spacing w:before="240" w:after="120"/>
        <w:jc w:val="left"/>
      </w:pPr>
      <w:r>
        <w:rPr>
          <w:rFonts w:ascii="Times New Roman" w:hAnsi="Times New Roman"/>
          <w:b/>
          <w:color w:val="19375F"/>
          <w:sz w:val="24"/>
        </w:rPr>
        <w:t>Literature Review Approach</w:t>
      </w:r>
    </w:p>
    <w:p>
      <w:pPr>
        <w:spacing w:after="120" w:line="276" w:lineRule="auto"/>
        <w:jc w:val="left"/>
      </w:pPr>
      <w:r>
        <w:rPr>
          <w:rFonts w:ascii="Times New Roman" w:hAnsi="Times New Roman"/>
          <w:i w:val="0"/>
          <w:sz w:val="22"/>
        </w:rPr>
        <w:t>A rigorous, systematic literature review was conducted to ground the study's research questions, variable selection, statistical formulations, and machine learning architectures in established peer-reviewed scholarship. Academic databases queried included IEEE Xplore, ScienceDirect, Elsevier Energy Policy, JSTOR, SpringerLink, the American Statistical Association (ASA) digital archive, and Google Scholar, alongside statutory technical documentation from the U.S. Environmental Protection Agency. Search strings combined domain and methodological keywords using Boolean operators: ('Clean Air Markets Program' OR 'Acid Rain Program' OR 'CAMPD' OR '40 CFR Part 75') AND ('heat input rate' OR 'boiler vintage' OR 'flue gas desulfurization' OR 'unit attributes') AND ('ANOVA' OR 'Kruskal-Wallis' OR 'Random Forest' OR 'Gradient Boosting' OR 'K-Means clustering' OR 'principal component analysis').</w:t>
      </w:r>
    </w:p>
    <w:p>
      <w:pPr>
        <w:spacing w:after="120" w:line="276" w:lineRule="auto"/>
        <w:jc w:val="left"/>
      </w:pPr>
      <w:r>
        <w:rPr>
          <w:rFonts w:ascii="Times New Roman" w:hAnsi="Times New Roman"/>
          <w:i w:val="0"/>
          <w:sz w:val="22"/>
        </w:rPr>
        <w:t>Literature inclusion criteria mandated that selected works be either: (a) empirical studies published in peer-reviewed energy economics or environmental policy journals examining stationary power plant emissions and compliance behavior; (b) foundational mathematical statistics and machine learning treatises establishing the asymptotic properties, effect size metrics, and validation protocols of the algorithms deployed; or (c) authoritative federal data standards governing electric utility telemetry. Studies focusing exclusively on mobile vehicular tailpipe emissions or theoretical macro-climate models without facility-level granularity were excluded. Fourteen foundational sources satisfying these criteria were synthesized and mapped directly to RQ1–RQ4.</w:t>
      </w:r>
    </w:p>
    <w:p>
      <w:pPr>
        <w:keepNext/>
        <w:spacing w:before="240" w:after="120"/>
        <w:jc w:val="left"/>
      </w:pPr>
      <w:r>
        <w:rPr>
          <w:rFonts w:ascii="Times New Roman" w:hAnsi="Times New Roman"/>
          <w:b/>
          <w:color w:val="19375F"/>
          <w:sz w:val="24"/>
        </w:rPr>
        <w:t>Summary of Key Literature (14 Foundational Sources)</w:t>
      </w:r>
    </w:p>
    <w:p>
      <w:pPr>
        <w:spacing w:after="120" w:line="276" w:lineRule="auto"/>
        <w:jc w:val="left"/>
      </w:pPr>
      <w:r>
        <w:rPr>
          <w:rFonts w:ascii="Times New Roman" w:hAnsi="Times New Roman"/>
          <w:i w:val="0"/>
          <w:sz w:val="22"/>
        </w:rPr>
        <w:t>Table 1 presents the comprehensive Literature Relevance Matrix, detailing for each of the 14 sources the author(s) and publication year, domain and context, dataset or analytical setting, statistical and machine learning methods, primary empirical or theoretical findings, and explicit support for our research questions and modeling decisions.</w:t>
      </w:r>
    </w:p>
    <w:p>
      <w:pPr>
        <w:keepNext/>
        <w:spacing w:before="240" w:after="40"/>
      </w:pPr>
      <w:r>
        <w:rPr>
          <w:rFonts w:ascii="Times New Roman" w:hAnsi="Times New Roman"/>
          <w:b/>
          <w:sz w:val="22"/>
        </w:rPr>
        <w:t>Table 1</w:t>
      </w:r>
    </w:p>
    <w:p>
      <w:pPr>
        <w:keepNext/>
        <w:spacing w:before="0" w:after="120"/>
      </w:pPr>
      <w:r>
        <w:rPr>
          <w:rFonts w:ascii="Times New Roman" w:hAnsi="Times New Roman"/>
          <w:i/>
          <w:sz w:val="22"/>
        </w:rPr>
        <w:t>Literature Relevance Matrix</w:t>
      </w:r>
    </w:p>
    <w:tbl>
      <w:tblPr>
        <w:tblW w:type="auto" w:w="0"/>
        <w:tblLook w:firstColumn="1" w:firstRow="1" w:lastColumn="0" w:lastRow="0" w:noHBand="0" w:noVBand="1" w:val="04A0"/>
        <w:jc w:val="center"/>
        <w:tblBorders>
          <w:top w:val="single" w:sz="12" w:space="0" w:color="000000"/>
          <w:bottom w:val="single" w:sz="12" w:space="0" w:color="000000"/>
          <w:insideH w:val="single" w:sz="4" w:space="0" w:color="E5E5E5"/>
          <w:insideV w:val="none"/>
          <w:left w:val="none"/>
          <w:right w:val="none"/>
        </w:tblBorders>
      </w:tblPr>
      <w:tblGrid>
        <w:gridCol w:w="1560"/>
        <w:gridCol w:w="1560"/>
        <w:gridCol w:w="1560"/>
        <w:gridCol w:w="1560"/>
        <w:gridCol w:w="1560"/>
        <w:gridCol w:w="1560"/>
      </w:tblGrid>
      <w:tr>
        <w:trPr>
          <w:tblHeader/>
        </w:trPr>
        <w:tc>
          <w:tcPr>
            <w:tcW w:type="dxa" w:w="1584"/>
            <w:tcBorders>
              <w:bottom w:val="single" w:sz="12" w:space="0" w:color="000000"/>
            </w:tcBorders>
            <w:shd w:fill="F4F6F8"/>
          </w:tcPr>
          <w:p>
            <w:pPr>
              <w:spacing w:before="60" w:after="60" w:line="240" w:lineRule="auto"/>
              <w:jc w:val="center"/>
            </w:pPr>
            <w:r>
              <w:rPr>
                <w:rFonts w:ascii="Times New Roman" w:hAnsi="Times New Roman"/>
                <w:b/>
                <w:sz w:val="19"/>
              </w:rPr>
              <w:t>Author (Year)</w:t>
            </w:r>
          </w:p>
        </w:tc>
        <w:tc>
          <w:tcPr>
            <w:tcW w:type="dxa" w:w="1440"/>
            <w:tcBorders>
              <w:bottom w:val="single" w:sz="12" w:space="0" w:color="000000"/>
            </w:tcBorders>
            <w:shd w:fill="F4F6F8"/>
          </w:tcPr>
          <w:p>
            <w:pPr>
              <w:spacing w:before="60" w:after="60" w:line="240" w:lineRule="auto"/>
              <w:jc w:val="center"/>
            </w:pPr>
            <w:r>
              <w:rPr>
                <w:rFonts w:ascii="Times New Roman" w:hAnsi="Times New Roman"/>
                <w:b/>
                <w:sz w:val="19"/>
              </w:rPr>
              <w:t>Domain/Context</w:t>
            </w:r>
          </w:p>
        </w:tc>
        <w:tc>
          <w:tcPr>
            <w:tcW w:type="dxa" w:w="1440"/>
            <w:tcBorders>
              <w:bottom w:val="single" w:sz="12" w:space="0" w:color="000000"/>
            </w:tcBorders>
            <w:shd w:fill="F4F6F8"/>
          </w:tcPr>
          <w:p>
            <w:pPr>
              <w:spacing w:before="60" w:after="60" w:line="240" w:lineRule="auto"/>
              <w:jc w:val="center"/>
            </w:pPr>
            <w:r>
              <w:rPr>
                <w:rFonts w:ascii="Times New Roman" w:hAnsi="Times New Roman"/>
                <w:b/>
                <w:sz w:val="19"/>
              </w:rPr>
              <w:t>Dataset/Setting</w:t>
            </w:r>
          </w:p>
        </w:tc>
        <w:tc>
          <w:tcPr>
            <w:tcW w:type="dxa" w:w="1584"/>
            <w:tcBorders>
              <w:bottom w:val="single" w:sz="12" w:space="0" w:color="000000"/>
            </w:tcBorders>
            <w:shd w:fill="F4F6F8"/>
          </w:tcPr>
          <w:p>
            <w:pPr>
              <w:spacing w:before="60" w:after="60" w:line="240" w:lineRule="auto"/>
              <w:jc w:val="center"/>
            </w:pPr>
            <w:r>
              <w:rPr>
                <w:rFonts w:ascii="Times New Roman" w:hAnsi="Times New Roman"/>
                <w:b/>
                <w:sz w:val="19"/>
              </w:rPr>
              <w:t>Method(s)</w:t>
            </w:r>
          </w:p>
        </w:tc>
        <w:tc>
          <w:tcPr>
            <w:tcW w:type="dxa" w:w="1872"/>
            <w:tcBorders>
              <w:bottom w:val="single" w:sz="12" w:space="0" w:color="000000"/>
            </w:tcBorders>
            <w:shd w:fill="F4F6F8"/>
          </w:tcPr>
          <w:p>
            <w:pPr>
              <w:spacing w:before="60" w:after="60" w:line="240" w:lineRule="auto"/>
              <w:jc w:val="center"/>
            </w:pPr>
            <w:r>
              <w:rPr>
                <w:rFonts w:ascii="Times New Roman" w:hAnsi="Times New Roman"/>
                <w:b/>
                <w:sz w:val="19"/>
              </w:rPr>
              <w:t>Key Findings</w:t>
            </w:r>
          </w:p>
        </w:tc>
        <w:tc>
          <w:tcPr>
            <w:tcW w:type="dxa" w:w="2160"/>
            <w:tcBorders>
              <w:bottom w:val="single" w:sz="12" w:space="0" w:color="000000"/>
            </w:tcBorders>
            <w:shd w:fill="F4F6F8"/>
          </w:tcPr>
          <w:p>
            <w:pPr>
              <w:spacing w:before="60" w:after="60" w:line="240" w:lineRule="auto"/>
              <w:jc w:val="center"/>
            </w:pPr>
            <w:r>
              <w:rPr>
                <w:rFonts w:ascii="Times New Roman" w:hAnsi="Times New Roman"/>
                <w:b/>
                <w:sz w:val="19"/>
              </w:rPr>
              <w:t>How it supports RQ(s) / project decisions</w:t>
            </w:r>
          </w:p>
        </w:tc>
      </w:tr>
      <w:tr>
        <w:tc>
          <w:tcPr>
            <w:tcW w:type="dxa" w:w="1584"/>
          </w:tcPr>
          <w:p>
            <w:pPr>
              <w:spacing w:before="40" w:after="40" w:line="252" w:lineRule="auto"/>
              <w:jc w:val="left"/>
            </w:pPr>
            <w:r>
              <w:rPr>
                <w:rFonts w:ascii="Times New Roman" w:hAnsi="Times New Roman"/>
                <w:sz w:val="18"/>
              </w:rPr>
              <w:t>U.S. EPA (2024)</w:t>
            </w:r>
          </w:p>
        </w:tc>
        <w:tc>
          <w:tcPr>
            <w:tcW w:type="dxa" w:w="1440"/>
          </w:tcPr>
          <w:p>
            <w:pPr>
              <w:spacing w:before="40" w:after="40" w:line="252" w:lineRule="auto"/>
              <w:jc w:val="left"/>
            </w:pPr>
            <w:r>
              <w:rPr>
                <w:rFonts w:ascii="Times New Roman" w:hAnsi="Times New Roman"/>
                <w:sz w:val="18"/>
              </w:rPr>
              <w:t>Federal Environmental Regulation</w:t>
            </w:r>
          </w:p>
        </w:tc>
        <w:tc>
          <w:tcPr>
            <w:tcW w:type="dxa" w:w="1440"/>
          </w:tcPr>
          <w:p>
            <w:pPr>
              <w:spacing w:before="40" w:after="40" w:line="252" w:lineRule="auto"/>
              <w:jc w:val="left"/>
            </w:pPr>
            <w:r>
              <w:rPr>
                <w:rFonts w:ascii="Times New Roman" w:hAnsi="Times New Roman"/>
                <w:sz w:val="18"/>
              </w:rPr>
              <w:t>CAMPD Bulk Data Files (4,050 U.S. units, 2025)</w:t>
            </w:r>
          </w:p>
        </w:tc>
        <w:tc>
          <w:tcPr>
            <w:tcW w:type="dxa" w:w="1584"/>
          </w:tcPr>
          <w:p>
            <w:pPr>
              <w:spacing w:before="40" w:after="40" w:line="252" w:lineRule="auto"/>
              <w:jc w:val="left"/>
            </w:pPr>
            <w:r>
              <w:rPr>
                <w:rFonts w:ascii="Times New Roman" w:hAnsi="Times New Roman"/>
                <w:sz w:val="18"/>
              </w:rPr>
              <w:t>Continuous Emission Monitoring (40 CFR Part 75)</w:t>
            </w:r>
          </w:p>
        </w:tc>
        <w:tc>
          <w:tcPr>
            <w:tcW w:type="dxa" w:w="1872"/>
          </w:tcPr>
          <w:p>
            <w:pPr>
              <w:spacing w:before="40" w:after="40" w:line="252" w:lineRule="auto"/>
              <w:jc w:val="left"/>
            </w:pPr>
            <w:r>
              <w:rPr>
                <w:rFonts w:ascii="Times New Roman" w:hAnsi="Times New Roman"/>
                <w:sz w:val="18"/>
              </w:rPr>
              <w:t>Establishes standardized unit-level reporting for heat input, capacity, fuel, and abatement controls.</w:t>
            </w:r>
          </w:p>
        </w:tc>
        <w:tc>
          <w:tcPr>
            <w:tcW w:type="dxa" w:w="2160"/>
          </w:tcPr>
          <w:p>
            <w:pPr>
              <w:spacing w:before="40" w:after="40" w:line="252" w:lineRule="auto"/>
              <w:jc w:val="left"/>
            </w:pPr>
            <w:r>
              <w:rPr>
                <w:rFonts w:ascii="Times New Roman" w:hAnsi="Times New Roman"/>
                <w:sz w:val="18"/>
              </w:rPr>
              <w:t>Primary data source and schema foundation for all variables across RQ1–RQ4.</w:t>
            </w:r>
          </w:p>
        </w:tc>
      </w:tr>
      <w:tr>
        <w:tc>
          <w:tcPr>
            <w:tcW w:type="dxa" w:w="1584"/>
            <w:shd w:fill="FAFAFA"/>
          </w:tcPr>
          <w:p>
            <w:pPr>
              <w:spacing w:before="40" w:after="40" w:line="252" w:lineRule="auto"/>
              <w:jc w:val="left"/>
            </w:pPr>
            <w:r>
              <w:rPr>
                <w:rFonts w:ascii="Times New Roman" w:hAnsi="Times New Roman"/>
                <w:sz w:val="18"/>
              </w:rPr>
              <w:t>Ellis et al. (2019)</w:t>
            </w:r>
          </w:p>
        </w:tc>
        <w:tc>
          <w:tcPr>
            <w:tcW w:type="dxa" w:w="1440"/>
            <w:shd w:fill="FAFAFA"/>
          </w:tcPr>
          <w:p>
            <w:pPr>
              <w:spacing w:before="40" w:after="40" w:line="252" w:lineRule="auto"/>
              <w:jc w:val="left"/>
            </w:pPr>
            <w:r>
              <w:rPr>
                <w:rFonts w:ascii="Times New Roman" w:hAnsi="Times New Roman"/>
                <w:sz w:val="18"/>
              </w:rPr>
              <w:t>Energy Policy &amp; Emissions Trading</w:t>
            </w:r>
          </w:p>
        </w:tc>
        <w:tc>
          <w:tcPr>
            <w:tcW w:type="dxa" w:w="1440"/>
            <w:shd w:fill="FAFAFA"/>
          </w:tcPr>
          <w:p>
            <w:pPr>
              <w:spacing w:before="40" w:after="40" w:line="252" w:lineRule="auto"/>
              <w:jc w:val="left"/>
            </w:pPr>
            <w:r>
              <w:rPr>
                <w:rFonts w:ascii="Times New Roman" w:hAnsi="Times New Roman"/>
                <w:sz w:val="18"/>
              </w:rPr>
              <w:t>U.S. Fossil-Fuel Power Fleet (CAMPD)</w:t>
            </w:r>
          </w:p>
        </w:tc>
        <w:tc>
          <w:tcPr>
            <w:tcW w:type="dxa" w:w="1584"/>
            <w:shd w:fill="FAFAFA"/>
          </w:tcPr>
          <w:p>
            <w:pPr>
              <w:spacing w:before="40" w:after="40" w:line="252" w:lineRule="auto"/>
              <w:jc w:val="left"/>
            </w:pPr>
            <w:r>
              <w:rPr>
                <w:rFonts w:ascii="Times New Roman" w:hAnsi="Times New Roman"/>
                <w:sz w:val="18"/>
              </w:rPr>
              <w:t>Econometric Panel &amp; Policy Evaluation</w:t>
            </w:r>
          </w:p>
        </w:tc>
        <w:tc>
          <w:tcPr>
            <w:tcW w:type="dxa" w:w="1872"/>
            <w:shd w:fill="FAFAFA"/>
          </w:tcPr>
          <w:p>
            <w:pPr>
              <w:spacing w:before="40" w:after="40" w:line="252" w:lineRule="auto"/>
              <w:jc w:val="left"/>
            </w:pPr>
            <w:r>
              <w:rPr>
                <w:rFonts w:ascii="Times New Roman" w:hAnsi="Times New Roman"/>
                <w:sz w:val="18"/>
              </w:rPr>
              <w:t>Market-based trading induced rapid coal-to-gas switching and concentrated emissions in legacy baseload units.</w:t>
            </w:r>
          </w:p>
        </w:tc>
        <w:tc>
          <w:tcPr>
            <w:tcW w:type="dxa" w:w="2160"/>
            <w:shd w:fill="FAFAFA"/>
          </w:tcPr>
          <w:p>
            <w:pPr>
              <w:spacing w:before="40" w:after="40" w:line="252" w:lineRule="auto"/>
              <w:jc w:val="left"/>
            </w:pPr>
            <w:r>
              <w:rPr>
                <w:rFonts w:ascii="Times New Roman" w:hAnsi="Times New Roman"/>
                <w:sz w:val="18"/>
              </w:rPr>
              <w:t>Motivates RQ1 fuel comparisons and RQ2 high-emitter predictive features.</w:t>
            </w:r>
          </w:p>
        </w:tc>
      </w:tr>
      <w:tr>
        <w:tc>
          <w:tcPr>
            <w:tcW w:type="dxa" w:w="1584"/>
          </w:tcPr>
          <w:p>
            <w:pPr>
              <w:spacing w:before="40" w:after="40" w:line="252" w:lineRule="auto"/>
              <w:jc w:val="left"/>
            </w:pPr>
            <w:r>
              <w:rPr>
                <w:rFonts w:ascii="Times New Roman" w:hAnsi="Times New Roman"/>
                <w:sz w:val="18"/>
              </w:rPr>
              <w:t>Schmalensee &amp; Stavins (2017)</w:t>
            </w:r>
          </w:p>
        </w:tc>
        <w:tc>
          <w:tcPr>
            <w:tcW w:type="dxa" w:w="1440"/>
          </w:tcPr>
          <w:p>
            <w:pPr>
              <w:spacing w:before="40" w:after="40" w:line="252" w:lineRule="auto"/>
              <w:jc w:val="left"/>
            </w:pPr>
            <w:r>
              <w:rPr>
                <w:rFonts w:ascii="Times New Roman" w:hAnsi="Times New Roman"/>
                <w:sz w:val="18"/>
              </w:rPr>
              <w:t>Environmental Economics</w:t>
            </w:r>
          </w:p>
        </w:tc>
        <w:tc>
          <w:tcPr>
            <w:tcW w:type="dxa" w:w="1440"/>
          </w:tcPr>
          <w:p>
            <w:pPr>
              <w:spacing w:before="40" w:after="40" w:line="252" w:lineRule="auto"/>
              <w:jc w:val="left"/>
            </w:pPr>
            <w:r>
              <w:rPr>
                <w:rFonts w:ascii="Times New Roman" w:hAnsi="Times New Roman"/>
                <w:sz w:val="18"/>
              </w:rPr>
              <w:t>30-Year Cap-and-Trade Retrospective</w:t>
            </w:r>
          </w:p>
        </w:tc>
        <w:tc>
          <w:tcPr>
            <w:tcW w:type="dxa" w:w="1584"/>
          </w:tcPr>
          <w:p>
            <w:pPr>
              <w:spacing w:before="40" w:after="40" w:line="252" w:lineRule="auto"/>
              <w:jc w:val="left"/>
            </w:pPr>
            <w:r>
              <w:rPr>
                <w:rFonts w:ascii="Times New Roman" w:hAnsi="Times New Roman"/>
                <w:sz w:val="18"/>
              </w:rPr>
              <w:t>Economic Cost-Benefit &amp; Institutional Analysis</w:t>
            </w:r>
          </w:p>
        </w:tc>
        <w:tc>
          <w:tcPr>
            <w:tcW w:type="dxa" w:w="1872"/>
          </w:tcPr>
          <w:p>
            <w:pPr>
              <w:spacing w:before="40" w:after="40" w:line="252" w:lineRule="auto"/>
              <w:jc w:val="left"/>
            </w:pPr>
            <w:r>
              <w:rPr>
                <w:rFonts w:ascii="Times New Roman" w:hAnsi="Times New Roman"/>
                <w:sz w:val="18"/>
              </w:rPr>
              <w:t>Allowance trading reduced SO2 and NOx compliance costs by 40–60% vs command-and-control mandates.</w:t>
            </w:r>
          </w:p>
        </w:tc>
        <w:tc>
          <w:tcPr>
            <w:tcW w:type="dxa" w:w="2160"/>
          </w:tcPr>
          <w:p>
            <w:pPr>
              <w:spacing w:before="40" w:after="40" w:line="252" w:lineRule="auto"/>
              <w:jc w:val="left"/>
            </w:pPr>
            <w:r>
              <w:rPr>
                <w:rFonts w:ascii="Times New Roman" w:hAnsi="Times New Roman"/>
                <w:sz w:val="18"/>
              </w:rPr>
              <w:t>Justifies encoding regulatory program participation and control counts in RQ2 &amp; RQ3.</w:t>
            </w:r>
          </w:p>
        </w:tc>
      </w:tr>
      <w:tr>
        <w:tc>
          <w:tcPr>
            <w:tcW w:type="dxa" w:w="1584"/>
            <w:shd w:fill="FAFAFA"/>
          </w:tcPr>
          <w:p>
            <w:pPr>
              <w:spacing w:before="40" w:after="40" w:line="252" w:lineRule="auto"/>
              <w:jc w:val="left"/>
            </w:pPr>
            <w:r>
              <w:rPr>
                <w:rFonts w:ascii="Times New Roman" w:hAnsi="Times New Roman"/>
                <w:sz w:val="18"/>
              </w:rPr>
              <w:t>Burtraw et al. (2012)</w:t>
            </w:r>
          </w:p>
        </w:tc>
        <w:tc>
          <w:tcPr>
            <w:tcW w:type="dxa" w:w="1440"/>
            <w:shd w:fill="FAFAFA"/>
          </w:tcPr>
          <w:p>
            <w:pPr>
              <w:spacing w:before="40" w:after="40" w:line="252" w:lineRule="auto"/>
              <w:jc w:val="left"/>
            </w:pPr>
            <w:r>
              <w:rPr>
                <w:rFonts w:ascii="Times New Roman" w:hAnsi="Times New Roman"/>
                <w:sz w:val="18"/>
              </w:rPr>
              <w:t>Electricity Grid &amp; Carbon Policy</w:t>
            </w:r>
          </w:p>
        </w:tc>
        <w:tc>
          <w:tcPr>
            <w:tcW w:type="dxa" w:w="1440"/>
            <w:shd w:fill="FAFAFA"/>
          </w:tcPr>
          <w:p>
            <w:pPr>
              <w:spacing w:before="40" w:after="40" w:line="252" w:lineRule="auto"/>
              <w:jc w:val="left"/>
            </w:pPr>
            <w:r>
              <w:rPr>
                <w:rFonts w:ascii="Times New Roman" w:hAnsi="Times New Roman"/>
                <w:sz w:val="18"/>
              </w:rPr>
              <w:t>National Electric Reliability Council Regions</w:t>
            </w:r>
          </w:p>
        </w:tc>
        <w:tc>
          <w:tcPr>
            <w:tcW w:type="dxa" w:w="1584"/>
            <w:shd w:fill="FAFAFA"/>
          </w:tcPr>
          <w:p>
            <w:pPr>
              <w:spacing w:before="40" w:after="40" w:line="252" w:lineRule="auto"/>
              <w:jc w:val="left"/>
            </w:pPr>
            <w:r>
              <w:rPr>
                <w:rFonts w:ascii="Times New Roman" w:hAnsi="Times New Roman"/>
                <w:sz w:val="18"/>
              </w:rPr>
              <w:t>Capacity Expansion &amp; Dispatch Simulation</w:t>
            </w:r>
          </w:p>
        </w:tc>
        <w:tc>
          <w:tcPr>
            <w:tcW w:type="dxa" w:w="1872"/>
            <w:shd w:fill="FAFAFA"/>
          </w:tcPr>
          <w:p>
            <w:pPr>
              <w:spacing w:before="40" w:after="40" w:line="252" w:lineRule="auto"/>
              <w:jc w:val="left"/>
            </w:pPr>
            <w:r>
              <w:rPr>
                <w:rFonts w:ascii="Times New Roman" w:hAnsi="Times New Roman"/>
                <w:sz w:val="18"/>
              </w:rPr>
              <w:t>Unit vintage, thermal heat rate, and scrubber retrofits govern plant retirement vs continued baseload operation.</w:t>
            </w:r>
          </w:p>
        </w:tc>
        <w:tc>
          <w:tcPr>
            <w:tcW w:type="dxa" w:w="2160"/>
            <w:shd w:fill="FAFAFA"/>
          </w:tcPr>
          <w:p>
            <w:pPr>
              <w:spacing w:before="40" w:after="40" w:line="252" w:lineRule="auto"/>
              <w:jc w:val="left"/>
            </w:pPr>
            <w:r>
              <w:rPr>
                <w:rFonts w:ascii="Times New Roman" w:hAnsi="Times New Roman"/>
                <w:sz w:val="18"/>
              </w:rPr>
              <w:t>Directly supports RQ3 age-intensity regression and RQ4 fleet archetype clustering.</w:t>
            </w:r>
          </w:p>
        </w:tc>
      </w:tr>
      <w:tr>
        <w:tc>
          <w:tcPr>
            <w:tcW w:type="dxa" w:w="1584"/>
          </w:tcPr>
          <w:p>
            <w:pPr>
              <w:spacing w:before="40" w:after="40" w:line="252" w:lineRule="auto"/>
              <w:jc w:val="left"/>
            </w:pPr>
            <w:r>
              <w:rPr>
                <w:rFonts w:ascii="Times New Roman" w:hAnsi="Times New Roman"/>
                <w:sz w:val="18"/>
              </w:rPr>
              <w:t>Harrington et al. (2004)</w:t>
            </w:r>
          </w:p>
        </w:tc>
        <w:tc>
          <w:tcPr>
            <w:tcW w:type="dxa" w:w="1440"/>
          </w:tcPr>
          <w:p>
            <w:pPr>
              <w:spacing w:before="40" w:after="40" w:line="252" w:lineRule="auto"/>
              <w:jc w:val="left"/>
            </w:pPr>
            <w:r>
              <w:rPr>
                <w:rFonts w:ascii="Times New Roman" w:hAnsi="Times New Roman"/>
                <w:sz w:val="18"/>
              </w:rPr>
              <w:t>Regulatory Instrument Design</w:t>
            </w:r>
          </w:p>
        </w:tc>
        <w:tc>
          <w:tcPr>
            <w:tcW w:type="dxa" w:w="1440"/>
          </w:tcPr>
          <w:p>
            <w:pPr>
              <w:spacing w:before="40" w:after="40" w:line="252" w:lineRule="auto"/>
              <w:jc w:val="left"/>
            </w:pPr>
            <w:r>
              <w:rPr>
                <w:rFonts w:ascii="Times New Roman" w:hAnsi="Times New Roman"/>
                <w:sz w:val="18"/>
              </w:rPr>
              <w:t>U.S. and European Industrial Point Sources</w:t>
            </w:r>
          </w:p>
        </w:tc>
        <w:tc>
          <w:tcPr>
            <w:tcW w:type="dxa" w:w="1584"/>
          </w:tcPr>
          <w:p>
            <w:pPr>
              <w:spacing w:before="40" w:after="40" w:line="252" w:lineRule="auto"/>
              <w:jc w:val="left"/>
            </w:pPr>
            <w:r>
              <w:rPr>
                <w:rFonts w:ascii="Times New Roman" w:hAnsi="Times New Roman"/>
                <w:sz w:val="18"/>
              </w:rPr>
              <w:t>Comparative Empirical Policy Audit</w:t>
            </w:r>
          </w:p>
        </w:tc>
        <w:tc>
          <w:tcPr>
            <w:tcW w:type="dxa" w:w="1872"/>
          </w:tcPr>
          <w:p>
            <w:pPr>
              <w:spacing w:before="40" w:after="40" w:line="252" w:lineRule="auto"/>
              <w:jc w:val="left"/>
            </w:pPr>
            <w:r>
              <w:rPr>
                <w:rFonts w:ascii="Times New Roman" w:hAnsi="Times New Roman"/>
                <w:sz w:val="18"/>
              </w:rPr>
              <w:t>Continuous monitoring paired with targeted enforcement audits maximizes environmental compliance.</w:t>
            </w:r>
          </w:p>
        </w:tc>
        <w:tc>
          <w:tcPr>
            <w:tcW w:type="dxa" w:w="2160"/>
          </w:tcPr>
          <w:p>
            <w:pPr>
              <w:spacing w:before="40" w:after="40" w:line="252" w:lineRule="auto"/>
              <w:jc w:val="left"/>
            </w:pPr>
            <w:r>
              <w:rPr>
                <w:rFonts w:ascii="Times New Roman" w:hAnsi="Times New Roman"/>
                <w:sz w:val="18"/>
              </w:rPr>
              <w:t>Provides practical policy justification for RQ2 automated audit screening.</w:t>
            </w:r>
          </w:p>
        </w:tc>
      </w:tr>
      <w:tr>
        <w:tc>
          <w:tcPr>
            <w:tcW w:type="dxa" w:w="1584"/>
            <w:shd w:fill="FAFAFA"/>
          </w:tcPr>
          <w:p>
            <w:pPr>
              <w:spacing w:before="40" w:after="40" w:line="252" w:lineRule="auto"/>
              <w:jc w:val="left"/>
            </w:pPr>
            <w:r>
              <w:rPr>
                <w:rFonts w:ascii="Times New Roman" w:hAnsi="Times New Roman"/>
                <w:sz w:val="18"/>
              </w:rPr>
              <w:t>Hollander et al. (2014)</w:t>
            </w:r>
          </w:p>
        </w:tc>
        <w:tc>
          <w:tcPr>
            <w:tcW w:type="dxa" w:w="1440"/>
            <w:shd w:fill="FAFAFA"/>
          </w:tcPr>
          <w:p>
            <w:pPr>
              <w:spacing w:before="40" w:after="40" w:line="252" w:lineRule="auto"/>
              <w:jc w:val="left"/>
            </w:pPr>
            <w:r>
              <w:rPr>
                <w:rFonts w:ascii="Times New Roman" w:hAnsi="Times New Roman"/>
                <w:sz w:val="18"/>
              </w:rPr>
              <w:t>Nonparametric Statistical Methods</w:t>
            </w:r>
          </w:p>
        </w:tc>
        <w:tc>
          <w:tcPr>
            <w:tcW w:type="dxa" w:w="1440"/>
            <w:shd w:fill="FAFAFA"/>
          </w:tcPr>
          <w:p>
            <w:pPr>
              <w:spacing w:before="40" w:after="40" w:line="252" w:lineRule="auto"/>
              <w:jc w:val="left"/>
            </w:pPr>
            <w:r>
              <w:rPr>
                <w:rFonts w:ascii="Times New Roman" w:hAnsi="Times New Roman"/>
                <w:sz w:val="18"/>
              </w:rPr>
              <w:t>Skewed Industrial &amp; Biometric Distributions</w:t>
            </w:r>
          </w:p>
        </w:tc>
        <w:tc>
          <w:tcPr>
            <w:tcW w:type="dxa" w:w="1584"/>
            <w:shd w:fill="FAFAFA"/>
          </w:tcPr>
          <w:p>
            <w:pPr>
              <w:spacing w:before="40" w:after="40" w:line="252" w:lineRule="auto"/>
              <w:jc w:val="left"/>
            </w:pPr>
            <w:r>
              <w:rPr>
                <w:rFonts w:ascii="Times New Roman" w:hAnsi="Times New Roman"/>
                <w:sz w:val="18"/>
              </w:rPr>
              <w:t>Kruskal-Wallis Rank-Sum &amp; Distribution-Free Tests</w:t>
            </w:r>
          </w:p>
        </w:tc>
        <w:tc>
          <w:tcPr>
            <w:tcW w:type="dxa" w:w="1872"/>
            <w:shd w:fill="FAFAFA"/>
          </w:tcPr>
          <w:p>
            <w:pPr>
              <w:spacing w:before="40" w:after="40" w:line="252" w:lineRule="auto"/>
              <w:jc w:val="left"/>
            </w:pPr>
            <w:r>
              <w:rPr>
                <w:rFonts w:ascii="Times New Roman" w:hAnsi="Times New Roman"/>
                <w:sz w:val="18"/>
              </w:rPr>
              <w:t>Rank-based omnibus tests preserve Type I error control and asymptotic power under heavy right-skewness.</w:t>
            </w:r>
          </w:p>
        </w:tc>
        <w:tc>
          <w:tcPr>
            <w:tcW w:type="dxa" w:w="2160"/>
            <w:shd w:fill="FAFAFA"/>
          </w:tcPr>
          <w:p>
            <w:pPr>
              <w:spacing w:before="40" w:after="40" w:line="252" w:lineRule="auto"/>
              <w:jc w:val="left"/>
            </w:pPr>
            <w:r>
              <w:rPr>
                <w:rFonts w:ascii="Times New Roman" w:hAnsi="Times New Roman"/>
                <w:sz w:val="18"/>
              </w:rPr>
              <w:t>Methodological basis for coupling Kruskal-Wallis with ANOVA in RQ1.</w:t>
            </w:r>
          </w:p>
        </w:tc>
      </w:tr>
      <w:tr>
        <w:tc>
          <w:tcPr>
            <w:tcW w:type="dxa" w:w="1584"/>
          </w:tcPr>
          <w:p>
            <w:pPr>
              <w:spacing w:before="40" w:after="40" w:line="252" w:lineRule="auto"/>
              <w:jc w:val="left"/>
            </w:pPr>
            <w:r>
              <w:rPr>
                <w:rFonts w:ascii="Times New Roman" w:hAnsi="Times New Roman"/>
                <w:sz w:val="18"/>
              </w:rPr>
              <w:t>Gibbons &amp; Chakraborti (2011)</w:t>
            </w:r>
          </w:p>
        </w:tc>
        <w:tc>
          <w:tcPr>
            <w:tcW w:type="dxa" w:w="1440"/>
          </w:tcPr>
          <w:p>
            <w:pPr>
              <w:spacing w:before="40" w:after="40" w:line="252" w:lineRule="auto"/>
              <w:jc w:val="left"/>
            </w:pPr>
            <w:r>
              <w:rPr>
                <w:rFonts w:ascii="Times New Roman" w:hAnsi="Times New Roman"/>
                <w:sz w:val="18"/>
              </w:rPr>
              <w:t>Mathematical Statistics</w:t>
            </w:r>
          </w:p>
        </w:tc>
        <w:tc>
          <w:tcPr>
            <w:tcW w:type="dxa" w:w="1440"/>
          </w:tcPr>
          <w:p>
            <w:pPr>
              <w:spacing w:before="40" w:after="40" w:line="252" w:lineRule="auto"/>
              <w:jc w:val="left"/>
            </w:pPr>
            <w:r>
              <w:rPr>
                <w:rFonts w:ascii="Times New Roman" w:hAnsi="Times New Roman"/>
                <w:sz w:val="18"/>
              </w:rPr>
              <w:t>Asymptotic Relative Efficiency Proofs</w:t>
            </w:r>
          </w:p>
        </w:tc>
        <w:tc>
          <w:tcPr>
            <w:tcW w:type="dxa" w:w="1584"/>
          </w:tcPr>
          <w:p>
            <w:pPr>
              <w:spacing w:before="40" w:after="40" w:line="252" w:lineRule="auto"/>
              <w:jc w:val="left"/>
            </w:pPr>
            <w:r>
              <w:rPr>
                <w:rFonts w:ascii="Times New Roman" w:hAnsi="Times New Roman"/>
                <w:sz w:val="18"/>
              </w:rPr>
              <w:t>Rank Order Statistics &amp; Multiple Comparisons</w:t>
            </w:r>
          </w:p>
        </w:tc>
        <w:tc>
          <w:tcPr>
            <w:tcW w:type="dxa" w:w="1872"/>
          </w:tcPr>
          <w:p>
            <w:pPr>
              <w:spacing w:before="40" w:after="40" w:line="252" w:lineRule="auto"/>
              <w:jc w:val="left"/>
            </w:pPr>
            <w:r>
              <w:rPr>
                <w:rFonts w:ascii="Times New Roman" w:hAnsi="Times New Roman"/>
                <w:sz w:val="18"/>
              </w:rPr>
              <w:t>Non-parametric rank tests achieve &gt;95% efficiency vs parametric F-tests even under Gaussian conditions.</w:t>
            </w:r>
          </w:p>
        </w:tc>
        <w:tc>
          <w:tcPr>
            <w:tcW w:type="dxa" w:w="2160"/>
          </w:tcPr>
          <w:p>
            <w:pPr>
              <w:spacing w:before="40" w:after="40" w:line="252" w:lineRule="auto"/>
              <w:jc w:val="left"/>
            </w:pPr>
            <w:r>
              <w:rPr>
                <w:rFonts w:ascii="Times New Roman" w:hAnsi="Times New Roman"/>
                <w:sz w:val="18"/>
              </w:rPr>
              <w:t>Validates robustness of RQ1 rank testing and RQ3 Spearman rank correlation.</w:t>
            </w:r>
          </w:p>
        </w:tc>
      </w:tr>
      <w:tr>
        <w:tc>
          <w:tcPr>
            <w:tcW w:type="dxa" w:w="1584"/>
            <w:shd w:fill="FAFAFA"/>
          </w:tcPr>
          <w:p>
            <w:pPr>
              <w:spacing w:before="40" w:after="40" w:line="252" w:lineRule="auto"/>
              <w:jc w:val="left"/>
            </w:pPr>
            <w:r>
              <w:rPr>
                <w:rFonts w:ascii="Times New Roman" w:hAnsi="Times New Roman"/>
                <w:sz w:val="18"/>
              </w:rPr>
              <w:t>Montgomery et al. (2021)</w:t>
            </w:r>
          </w:p>
        </w:tc>
        <w:tc>
          <w:tcPr>
            <w:tcW w:type="dxa" w:w="1440"/>
            <w:shd w:fill="FAFAFA"/>
          </w:tcPr>
          <w:p>
            <w:pPr>
              <w:spacing w:before="40" w:after="40" w:line="252" w:lineRule="auto"/>
              <w:jc w:val="left"/>
            </w:pPr>
            <w:r>
              <w:rPr>
                <w:rFonts w:ascii="Times New Roman" w:hAnsi="Times New Roman"/>
                <w:sz w:val="18"/>
              </w:rPr>
              <w:t>Applied Regression Econometrics</w:t>
            </w:r>
          </w:p>
        </w:tc>
        <w:tc>
          <w:tcPr>
            <w:tcW w:type="dxa" w:w="1440"/>
            <w:shd w:fill="FAFAFA"/>
          </w:tcPr>
          <w:p>
            <w:pPr>
              <w:spacing w:before="40" w:after="40" w:line="252" w:lineRule="auto"/>
              <w:jc w:val="left"/>
            </w:pPr>
            <w:r>
              <w:rPr>
                <w:rFonts w:ascii="Times New Roman" w:hAnsi="Times New Roman"/>
                <w:sz w:val="18"/>
              </w:rPr>
              <w:t>Engineering &amp; Industrial Process Data</w:t>
            </w:r>
          </w:p>
        </w:tc>
        <w:tc>
          <w:tcPr>
            <w:tcW w:type="dxa" w:w="1584"/>
            <w:shd w:fill="FAFAFA"/>
          </w:tcPr>
          <w:p>
            <w:pPr>
              <w:spacing w:before="40" w:after="40" w:line="252" w:lineRule="auto"/>
              <w:jc w:val="left"/>
            </w:pPr>
            <w:r>
              <w:rPr>
                <w:rFonts w:ascii="Times New Roman" w:hAnsi="Times New Roman"/>
                <w:sz w:val="18"/>
              </w:rPr>
              <w:t>OLS Estimation, Variance Inflation, Diagnostics</w:t>
            </w:r>
          </w:p>
        </w:tc>
        <w:tc>
          <w:tcPr>
            <w:tcW w:type="dxa" w:w="1872"/>
            <w:shd w:fill="FAFAFA"/>
          </w:tcPr>
          <w:p>
            <w:pPr>
              <w:spacing w:before="40" w:after="40" w:line="252" w:lineRule="auto"/>
              <w:jc w:val="left"/>
            </w:pPr>
            <w:r>
              <w:rPr>
                <w:rFonts w:ascii="Times New Roman" w:hAnsi="Times New Roman"/>
                <w:sz w:val="18"/>
              </w:rPr>
              <w:t>Demonstrates how omitted scale variables bias bivariate slopes and how multivariate OLS isolates partial effects.</w:t>
            </w:r>
          </w:p>
        </w:tc>
        <w:tc>
          <w:tcPr>
            <w:tcW w:type="dxa" w:w="2160"/>
            <w:shd w:fill="FAFAFA"/>
          </w:tcPr>
          <w:p>
            <w:pPr>
              <w:spacing w:before="40" w:after="40" w:line="252" w:lineRule="auto"/>
              <w:jc w:val="left"/>
            </w:pPr>
            <w:r>
              <w:rPr>
                <w:rFonts w:ascii="Times New Roman" w:hAnsi="Times New Roman"/>
                <w:sz w:val="18"/>
              </w:rPr>
              <w:t>Directly explains the bivariate-to-multivariate age slope reversal in RQ3.</w:t>
            </w:r>
          </w:p>
        </w:tc>
      </w:tr>
      <w:tr>
        <w:tc>
          <w:tcPr>
            <w:tcW w:type="dxa" w:w="1584"/>
          </w:tcPr>
          <w:p>
            <w:pPr>
              <w:spacing w:before="40" w:after="40" w:line="252" w:lineRule="auto"/>
              <w:jc w:val="left"/>
            </w:pPr>
            <w:r>
              <w:rPr>
                <w:rFonts w:ascii="Times New Roman" w:hAnsi="Times New Roman"/>
                <w:sz w:val="18"/>
              </w:rPr>
              <w:t>Field (2018)</w:t>
            </w:r>
          </w:p>
        </w:tc>
        <w:tc>
          <w:tcPr>
            <w:tcW w:type="dxa" w:w="1440"/>
          </w:tcPr>
          <w:p>
            <w:pPr>
              <w:spacing w:before="40" w:after="40" w:line="252" w:lineRule="auto"/>
              <w:jc w:val="left"/>
            </w:pPr>
            <w:r>
              <w:rPr>
                <w:rFonts w:ascii="Times New Roman" w:hAnsi="Times New Roman"/>
                <w:sz w:val="18"/>
              </w:rPr>
              <w:t>Quantitative Research Methodology</w:t>
            </w:r>
          </w:p>
        </w:tc>
        <w:tc>
          <w:tcPr>
            <w:tcW w:type="dxa" w:w="1440"/>
          </w:tcPr>
          <w:p>
            <w:pPr>
              <w:spacing w:before="40" w:after="40" w:line="252" w:lineRule="auto"/>
              <w:jc w:val="left"/>
            </w:pPr>
            <w:r>
              <w:rPr>
                <w:rFonts w:ascii="Times New Roman" w:hAnsi="Times New Roman"/>
                <w:sz w:val="18"/>
              </w:rPr>
              <w:t>Behavioral &amp; Physical Science Datasets</w:t>
            </w:r>
          </w:p>
        </w:tc>
        <w:tc>
          <w:tcPr>
            <w:tcW w:type="dxa" w:w="1584"/>
          </w:tcPr>
          <w:p>
            <w:pPr>
              <w:spacing w:before="40" w:after="40" w:line="252" w:lineRule="auto"/>
              <w:jc w:val="left"/>
            </w:pPr>
            <w:r>
              <w:rPr>
                <w:rFonts w:ascii="Times New Roman" w:hAnsi="Times New Roman"/>
                <w:sz w:val="18"/>
              </w:rPr>
              <w:t>One-Way ANOVA, Eta-Squared (η²), Tukey HSD</w:t>
            </w:r>
          </w:p>
        </w:tc>
        <w:tc>
          <w:tcPr>
            <w:tcW w:type="dxa" w:w="1872"/>
          </w:tcPr>
          <w:p>
            <w:pPr>
              <w:spacing w:before="40" w:after="40" w:line="252" w:lineRule="auto"/>
              <w:jc w:val="left"/>
            </w:pPr>
            <w:r>
              <w:rPr>
                <w:rFonts w:ascii="Times New Roman" w:hAnsi="Times New Roman"/>
                <w:sz w:val="18"/>
              </w:rPr>
              <w:t>Establishes effect size thresholds (η² &gt; 0.14 = large effect) and family-wise error control via Tukey HSD.</w:t>
            </w:r>
          </w:p>
        </w:tc>
        <w:tc>
          <w:tcPr>
            <w:tcW w:type="dxa" w:w="2160"/>
          </w:tcPr>
          <w:p>
            <w:pPr>
              <w:spacing w:before="40" w:after="40" w:line="252" w:lineRule="auto"/>
              <w:jc w:val="left"/>
            </w:pPr>
            <w:r>
              <w:rPr>
                <w:rFonts w:ascii="Times New Roman" w:hAnsi="Times New Roman"/>
                <w:sz w:val="18"/>
              </w:rPr>
              <w:t>Supplies exact mathematical formulations for RQ1 omnibus and post-hoc tests.</w:t>
            </w:r>
          </w:p>
        </w:tc>
      </w:tr>
      <w:tr>
        <w:tc>
          <w:tcPr>
            <w:tcW w:type="dxa" w:w="1584"/>
            <w:shd w:fill="FAFAFA"/>
          </w:tcPr>
          <w:p>
            <w:pPr>
              <w:spacing w:before="40" w:after="40" w:line="252" w:lineRule="auto"/>
              <w:jc w:val="left"/>
            </w:pPr>
            <w:r>
              <w:rPr>
                <w:rFonts w:ascii="Times New Roman" w:hAnsi="Times New Roman"/>
                <w:sz w:val="18"/>
              </w:rPr>
              <w:t>Cochran (1977)</w:t>
            </w:r>
          </w:p>
        </w:tc>
        <w:tc>
          <w:tcPr>
            <w:tcW w:type="dxa" w:w="1440"/>
            <w:shd w:fill="FAFAFA"/>
          </w:tcPr>
          <w:p>
            <w:pPr>
              <w:spacing w:before="40" w:after="40" w:line="252" w:lineRule="auto"/>
              <w:jc w:val="left"/>
            </w:pPr>
            <w:r>
              <w:rPr>
                <w:rFonts w:ascii="Times New Roman" w:hAnsi="Times New Roman"/>
                <w:sz w:val="18"/>
              </w:rPr>
              <w:t>Sampling Theory &amp; Power Analysis</w:t>
            </w:r>
          </w:p>
        </w:tc>
        <w:tc>
          <w:tcPr>
            <w:tcW w:type="dxa" w:w="1440"/>
            <w:shd w:fill="FAFAFA"/>
          </w:tcPr>
          <w:p>
            <w:pPr>
              <w:spacing w:before="40" w:after="40" w:line="252" w:lineRule="auto"/>
              <w:jc w:val="left"/>
            </w:pPr>
            <w:r>
              <w:rPr>
                <w:rFonts w:ascii="Times New Roman" w:hAnsi="Times New Roman"/>
                <w:sz w:val="18"/>
              </w:rPr>
              <w:t>Finite &amp; Infinite Population Surveys</w:t>
            </w:r>
          </w:p>
        </w:tc>
        <w:tc>
          <w:tcPr>
            <w:tcW w:type="dxa" w:w="1584"/>
            <w:shd w:fill="FAFAFA"/>
          </w:tcPr>
          <w:p>
            <w:pPr>
              <w:spacing w:before="40" w:after="40" w:line="252" w:lineRule="auto"/>
              <w:jc w:val="left"/>
            </w:pPr>
            <w:r>
              <w:rPr>
                <w:rFonts w:ascii="Times New Roman" w:hAnsi="Times New Roman"/>
                <w:sz w:val="18"/>
              </w:rPr>
              <w:t>Stratified Allocation &amp; Sample Size Bounds</w:t>
            </w:r>
          </w:p>
        </w:tc>
        <w:tc>
          <w:tcPr>
            <w:tcW w:type="dxa" w:w="1872"/>
            <w:shd w:fill="FAFAFA"/>
          </w:tcPr>
          <w:p>
            <w:pPr>
              <w:spacing w:before="40" w:after="40" w:line="252" w:lineRule="auto"/>
              <w:jc w:val="left"/>
            </w:pPr>
            <w:r>
              <w:rPr>
                <w:rFonts w:ascii="Times New Roman" w:hAnsi="Times New Roman"/>
                <w:sz w:val="18"/>
              </w:rPr>
              <w:t>Derives minimum sample size equations for group means, proportions, and stratified holdout estimation.</w:t>
            </w:r>
          </w:p>
        </w:tc>
        <w:tc>
          <w:tcPr>
            <w:tcW w:type="dxa" w:w="2160"/>
            <w:shd w:fill="FAFAFA"/>
          </w:tcPr>
          <w:p>
            <w:pPr>
              <w:spacing w:before="40" w:after="40" w:line="252" w:lineRule="auto"/>
              <w:jc w:val="left"/>
            </w:pPr>
            <w:r>
              <w:rPr>
                <w:rFonts w:ascii="Times New Roman" w:hAnsi="Times New Roman"/>
                <w:sz w:val="18"/>
              </w:rPr>
              <w:t>Validates that N = 4,050 (3,240 train / 810 test) exceeds minimum bounds by 5x–22x.</w:t>
            </w:r>
          </w:p>
        </w:tc>
      </w:tr>
      <w:tr>
        <w:tc>
          <w:tcPr>
            <w:tcW w:type="dxa" w:w="1584"/>
          </w:tcPr>
          <w:p>
            <w:pPr>
              <w:spacing w:before="40" w:after="40" w:line="252" w:lineRule="auto"/>
              <w:jc w:val="left"/>
            </w:pPr>
            <w:r>
              <w:rPr>
                <w:rFonts w:ascii="Times New Roman" w:hAnsi="Times New Roman"/>
                <w:sz w:val="18"/>
              </w:rPr>
              <w:t>Kruskal &amp; Wallis (1952)</w:t>
            </w:r>
          </w:p>
        </w:tc>
        <w:tc>
          <w:tcPr>
            <w:tcW w:type="dxa" w:w="1440"/>
          </w:tcPr>
          <w:p>
            <w:pPr>
              <w:spacing w:before="40" w:after="40" w:line="252" w:lineRule="auto"/>
              <w:jc w:val="left"/>
            </w:pPr>
            <w:r>
              <w:rPr>
                <w:rFonts w:ascii="Times New Roman" w:hAnsi="Times New Roman"/>
                <w:sz w:val="18"/>
              </w:rPr>
              <w:t>Seminal Statistical Theory</w:t>
            </w:r>
          </w:p>
        </w:tc>
        <w:tc>
          <w:tcPr>
            <w:tcW w:type="dxa" w:w="1440"/>
          </w:tcPr>
          <w:p>
            <w:pPr>
              <w:spacing w:before="40" w:after="40" w:line="252" w:lineRule="auto"/>
              <w:jc w:val="left"/>
            </w:pPr>
            <w:r>
              <w:rPr>
                <w:rFonts w:ascii="Times New Roman" w:hAnsi="Times New Roman"/>
                <w:sz w:val="18"/>
              </w:rPr>
              <w:t>Multi-Group Independent Samples</w:t>
            </w:r>
          </w:p>
        </w:tc>
        <w:tc>
          <w:tcPr>
            <w:tcW w:type="dxa" w:w="1584"/>
          </w:tcPr>
          <w:p>
            <w:pPr>
              <w:spacing w:before="40" w:after="40" w:line="252" w:lineRule="auto"/>
              <w:jc w:val="left"/>
            </w:pPr>
            <w:r>
              <w:rPr>
                <w:rFonts w:ascii="Times New Roman" w:hAnsi="Times New Roman"/>
                <w:sz w:val="18"/>
              </w:rPr>
              <w:t>H-Statistic Chi-Square Approximation</w:t>
            </w:r>
          </w:p>
        </w:tc>
        <w:tc>
          <w:tcPr>
            <w:tcW w:type="dxa" w:w="1872"/>
          </w:tcPr>
          <w:p>
            <w:pPr>
              <w:spacing w:before="40" w:after="40" w:line="252" w:lineRule="auto"/>
              <w:jc w:val="left"/>
            </w:pPr>
            <w:r>
              <w:rPr>
                <w:rFonts w:ascii="Times New Roman" w:hAnsi="Times New Roman"/>
                <w:sz w:val="18"/>
              </w:rPr>
              <w:t>Formulates the exact rank-sum test statistic H for testing stochastic equality across k groups.</w:t>
            </w:r>
          </w:p>
        </w:tc>
        <w:tc>
          <w:tcPr>
            <w:tcW w:type="dxa" w:w="2160"/>
          </w:tcPr>
          <w:p>
            <w:pPr>
              <w:spacing w:before="40" w:after="40" w:line="252" w:lineRule="auto"/>
              <w:jc w:val="left"/>
            </w:pPr>
            <w:r>
              <w:rPr>
                <w:rFonts w:ascii="Times New Roman" w:hAnsi="Times New Roman"/>
                <w:sz w:val="18"/>
              </w:rPr>
              <w:t>Foundational mathematical equation implemented for RQ1 fuel variance testing.</w:t>
            </w:r>
          </w:p>
        </w:tc>
      </w:tr>
      <w:tr>
        <w:tc>
          <w:tcPr>
            <w:tcW w:type="dxa" w:w="1584"/>
            <w:shd w:fill="FAFAFA"/>
          </w:tcPr>
          <w:p>
            <w:pPr>
              <w:spacing w:before="40" w:after="40" w:line="252" w:lineRule="auto"/>
              <w:jc w:val="left"/>
            </w:pPr>
            <w:r>
              <w:rPr>
                <w:rFonts w:ascii="Times New Roman" w:hAnsi="Times New Roman"/>
                <w:sz w:val="18"/>
              </w:rPr>
              <w:t>Breiman (2001)</w:t>
            </w:r>
          </w:p>
        </w:tc>
        <w:tc>
          <w:tcPr>
            <w:tcW w:type="dxa" w:w="1440"/>
            <w:shd w:fill="FAFAFA"/>
          </w:tcPr>
          <w:p>
            <w:pPr>
              <w:spacing w:before="40" w:after="40" w:line="252" w:lineRule="auto"/>
              <w:jc w:val="left"/>
            </w:pPr>
            <w:r>
              <w:rPr>
                <w:rFonts w:ascii="Times New Roman" w:hAnsi="Times New Roman"/>
                <w:sz w:val="18"/>
              </w:rPr>
              <w:t>Ensemble Machine Learning</w:t>
            </w:r>
          </w:p>
        </w:tc>
        <w:tc>
          <w:tcPr>
            <w:tcW w:type="dxa" w:w="1440"/>
            <w:shd w:fill="FAFAFA"/>
          </w:tcPr>
          <w:p>
            <w:pPr>
              <w:spacing w:before="40" w:after="40" w:line="252" w:lineRule="auto"/>
              <w:jc w:val="left"/>
            </w:pPr>
            <w:r>
              <w:rPr>
                <w:rFonts w:ascii="Times New Roman" w:hAnsi="Times New Roman"/>
                <w:sz w:val="18"/>
              </w:rPr>
              <w:t>High-Dimensional Classification Benchmarks</w:t>
            </w:r>
          </w:p>
        </w:tc>
        <w:tc>
          <w:tcPr>
            <w:tcW w:type="dxa" w:w="1584"/>
            <w:shd w:fill="FAFAFA"/>
          </w:tcPr>
          <w:p>
            <w:pPr>
              <w:spacing w:before="40" w:after="40" w:line="252" w:lineRule="auto"/>
              <w:jc w:val="left"/>
            </w:pPr>
            <w:r>
              <w:rPr>
                <w:rFonts w:ascii="Times New Roman" w:hAnsi="Times New Roman"/>
                <w:sz w:val="18"/>
              </w:rPr>
              <w:t>Random Forests, Bagging, Gini Impurity MDI</w:t>
            </w:r>
          </w:p>
        </w:tc>
        <w:tc>
          <w:tcPr>
            <w:tcW w:type="dxa" w:w="1872"/>
            <w:shd w:fill="FAFAFA"/>
          </w:tcPr>
          <w:p>
            <w:pPr>
              <w:spacing w:before="40" w:after="40" w:line="252" w:lineRule="auto"/>
              <w:jc w:val="left"/>
            </w:pPr>
            <w:r>
              <w:rPr>
                <w:rFonts w:ascii="Times New Roman" w:hAnsi="Times New Roman"/>
                <w:sz w:val="18"/>
              </w:rPr>
              <w:t>Bootstrap aggregation of randomized trees reduces variance without increasing bias and yields robust feature importance.</w:t>
            </w:r>
          </w:p>
        </w:tc>
        <w:tc>
          <w:tcPr>
            <w:tcW w:type="dxa" w:w="2160"/>
            <w:shd w:fill="FAFAFA"/>
          </w:tcPr>
          <w:p>
            <w:pPr>
              <w:spacing w:before="40" w:after="40" w:line="252" w:lineRule="auto"/>
              <w:jc w:val="left"/>
            </w:pPr>
            <w:r>
              <w:rPr>
                <w:rFonts w:ascii="Times New Roman" w:hAnsi="Times New Roman"/>
                <w:sz w:val="18"/>
              </w:rPr>
              <w:t>Core algorithm for RQ2 classification (93.14% recall) and feature ranking.</w:t>
            </w:r>
          </w:p>
        </w:tc>
      </w:tr>
      <w:tr>
        <w:tc>
          <w:tcPr>
            <w:tcW w:type="dxa" w:w="1584"/>
          </w:tcPr>
          <w:p>
            <w:pPr>
              <w:spacing w:before="40" w:after="40" w:line="252" w:lineRule="auto"/>
              <w:jc w:val="left"/>
            </w:pPr>
            <w:r>
              <w:rPr>
                <w:rFonts w:ascii="Times New Roman" w:hAnsi="Times New Roman"/>
                <w:sz w:val="18"/>
              </w:rPr>
              <w:t>Friedman (2001)</w:t>
            </w:r>
          </w:p>
        </w:tc>
        <w:tc>
          <w:tcPr>
            <w:tcW w:type="dxa" w:w="1440"/>
          </w:tcPr>
          <w:p>
            <w:pPr>
              <w:spacing w:before="40" w:after="40" w:line="252" w:lineRule="auto"/>
              <w:jc w:val="left"/>
            </w:pPr>
            <w:r>
              <w:rPr>
                <w:rFonts w:ascii="Times New Roman" w:hAnsi="Times New Roman"/>
                <w:sz w:val="18"/>
              </w:rPr>
              <w:t>Statistical Learning &amp; Boosting</w:t>
            </w:r>
          </w:p>
        </w:tc>
        <w:tc>
          <w:tcPr>
            <w:tcW w:type="dxa" w:w="1440"/>
          </w:tcPr>
          <w:p>
            <w:pPr>
              <w:spacing w:before="40" w:after="40" w:line="252" w:lineRule="auto"/>
              <w:jc w:val="left"/>
            </w:pPr>
            <w:r>
              <w:rPr>
                <w:rFonts w:ascii="Times New Roman" w:hAnsi="Times New Roman"/>
                <w:sz w:val="18"/>
              </w:rPr>
              <w:t>Additive Expansion in Function Space</w:t>
            </w:r>
          </w:p>
        </w:tc>
        <w:tc>
          <w:tcPr>
            <w:tcW w:type="dxa" w:w="1584"/>
          </w:tcPr>
          <w:p>
            <w:pPr>
              <w:spacing w:before="40" w:after="40" w:line="252" w:lineRule="auto"/>
              <w:jc w:val="left"/>
            </w:pPr>
            <w:r>
              <w:rPr>
                <w:rFonts w:ascii="Times New Roman" w:hAnsi="Times New Roman"/>
                <w:sz w:val="18"/>
              </w:rPr>
              <w:t>Gradient Boosting Machines (GBM)</w:t>
            </w:r>
          </w:p>
        </w:tc>
        <w:tc>
          <w:tcPr>
            <w:tcW w:type="dxa" w:w="1872"/>
          </w:tcPr>
          <w:p>
            <w:pPr>
              <w:spacing w:before="40" w:after="40" w:line="252" w:lineRule="auto"/>
              <w:jc w:val="left"/>
            </w:pPr>
            <w:r>
              <w:rPr>
                <w:rFonts w:ascii="Times New Roman" w:hAnsi="Times New Roman"/>
                <w:sz w:val="18"/>
              </w:rPr>
              <w:t>Stage-wise additive trees fitted to negative loss gradients achieve state-of-the-art tabular classification accuracy.</w:t>
            </w:r>
          </w:p>
        </w:tc>
        <w:tc>
          <w:tcPr>
            <w:tcW w:type="dxa" w:w="2160"/>
          </w:tcPr>
          <w:p>
            <w:pPr>
              <w:spacing w:before="40" w:after="40" w:line="252" w:lineRule="auto"/>
              <w:jc w:val="left"/>
            </w:pPr>
            <w:r>
              <w:rPr>
                <w:rFonts w:ascii="Times New Roman" w:hAnsi="Times New Roman"/>
                <w:sz w:val="18"/>
              </w:rPr>
              <w:t>Primary champion classifier in RQ2 (96.54% accuracy, ROC-AUC = 0.9865).</w:t>
            </w:r>
          </w:p>
        </w:tc>
      </w:tr>
      <w:tr>
        <w:tc>
          <w:tcPr>
            <w:tcW w:type="dxa" w:w="1584"/>
            <w:shd w:fill="FAFAFA"/>
          </w:tcPr>
          <w:p>
            <w:pPr>
              <w:spacing w:before="40" w:after="40" w:line="252" w:lineRule="auto"/>
              <w:jc w:val="left"/>
            </w:pPr>
            <w:r>
              <w:rPr>
                <w:rFonts w:ascii="Times New Roman" w:hAnsi="Times New Roman"/>
                <w:sz w:val="18"/>
              </w:rPr>
              <w:t>MacQueen (1967)</w:t>
            </w:r>
          </w:p>
        </w:tc>
        <w:tc>
          <w:tcPr>
            <w:tcW w:type="dxa" w:w="1440"/>
            <w:shd w:fill="FAFAFA"/>
          </w:tcPr>
          <w:p>
            <w:pPr>
              <w:spacing w:before="40" w:after="40" w:line="252" w:lineRule="auto"/>
              <w:jc w:val="left"/>
            </w:pPr>
            <w:r>
              <w:rPr>
                <w:rFonts w:ascii="Times New Roman" w:hAnsi="Times New Roman"/>
                <w:sz w:val="18"/>
              </w:rPr>
              <w:t>Unsupervised Pattern Recognition</w:t>
            </w:r>
          </w:p>
        </w:tc>
        <w:tc>
          <w:tcPr>
            <w:tcW w:type="dxa" w:w="1440"/>
            <w:shd w:fill="FAFAFA"/>
          </w:tcPr>
          <w:p>
            <w:pPr>
              <w:spacing w:before="40" w:after="40" w:line="252" w:lineRule="auto"/>
              <w:jc w:val="left"/>
            </w:pPr>
            <w:r>
              <w:rPr>
                <w:rFonts w:ascii="Times New Roman" w:hAnsi="Times New Roman"/>
                <w:sz w:val="18"/>
              </w:rPr>
              <w:t>Multivariate Euclidean Spaces</w:t>
            </w:r>
          </w:p>
        </w:tc>
        <w:tc>
          <w:tcPr>
            <w:tcW w:type="dxa" w:w="1584"/>
            <w:shd w:fill="FAFAFA"/>
          </w:tcPr>
          <w:p>
            <w:pPr>
              <w:spacing w:before="40" w:after="40" w:line="252" w:lineRule="auto"/>
              <w:jc w:val="left"/>
            </w:pPr>
            <w:r>
              <w:rPr>
                <w:rFonts w:ascii="Times New Roman" w:hAnsi="Times New Roman"/>
                <w:sz w:val="18"/>
              </w:rPr>
              <w:t>K-Means Centroid Partitioning</w:t>
            </w:r>
          </w:p>
        </w:tc>
        <w:tc>
          <w:tcPr>
            <w:tcW w:type="dxa" w:w="1872"/>
            <w:shd w:fill="FAFAFA"/>
          </w:tcPr>
          <w:p>
            <w:pPr>
              <w:spacing w:before="40" w:after="40" w:line="252" w:lineRule="auto"/>
              <w:jc w:val="left"/>
            </w:pPr>
            <w:r>
              <w:rPr>
                <w:rFonts w:ascii="Times New Roman" w:hAnsi="Times New Roman"/>
                <w:sz w:val="18"/>
              </w:rPr>
              <w:t>Iterative minimization of within-cluster sum of squares (WCSS) partitions N observations into k Voronoi cells.</w:t>
            </w:r>
          </w:p>
        </w:tc>
        <w:tc>
          <w:tcPr>
            <w:tcW w:type="dxa" w:w="2160"/>
            <w:shd w:fill="FAFAFA"/>
          </w:tcPr>
          <w:p>
            <w:pPr>
              <w:spacing w:before="40" w:after="40" w:line="252" w:lineRule="auto"/>
              <w:jc w:val="left"/>
            </w:pPr>
            <w:r>
              <w:rPr>
                <w:rFonts w:ascii="Times New Roman" w:hAnsi="Times New Roman"/>
                <w:sz w:val="18"/>
              </w:rPr>
              <w:t>Algorithmic foundation for RQ4 fleet segmentation into k = 4 operational archetypes.</w:t>
            </w:r>
          </w:p>
        </w:tc>
      </w:tr>
    </w:tbl>
    <w:p>
      <w:pPr>
        <w:spacing w:before="60" w:after="240"/>
      </w:pPr>
      <w:r>
        <w:rPr>
          <w:rFonts w:ascii="Times New Roman" w:hAnsi="Times New Roman"/>
          <w:i/>
          <w:sz w:val="18"/>
        </w:rPr>
        <w:t xml:space="preserve">Note. </w:t>
      </w:r>
      <w:r>
        <w:rPr>
          <w:rFonts w:ascii="Times New Roman" w:hAnsi="Times New Roman"/>
          <w:sz w:val="18"/>
        </w:rPr>
        <w:t>Synthesis of 14 peer-reviewed and statutory sources establishing theoretical and methodological foundations for RQ1–RQ4.</w:t>
      </w:r>
    </w:p>
    <w:p>
      <w:pPr>
        <w:keepNext/>
        <w:spacing w:before="240" w:after="120"/>
        <w:jc w:val="left"/>
      </w:pPr>
      <w:r>
        <w:rPr>
          <w:rFonts w:ascii="Times New Roman" w:hAnsi="Times New Roman"/>
          <w:b/>
          <w:color w:val="19375F"/>
          <w:sz w:val="24"/>
        </w:rPr>
        <w:t>Thematic Synthesis of Literature</w:t>
      </w:r>
    </w:p>
    <w:p>
      <w:pPr>
        <w:spacing w:after="120" w:line="276" w:lineRule="auto"/>
        <w:jc w:val="left"/>
      </w:pPr>
      <w:r>
        <w:rPr>
          <w:rFonts w:ascii="Times New Roman" w:hAnsi="Times New Roman"/>
          <w:i w:val="0"/>
          <w:sz w:val="22"/>
        </w:rPr>
        <w:t>Theme 1: Market-Based Environmental Regulation and Fuel-Driven Emission Disparity (Supporting RQ1). A substantial body of environmental economics literature (Schmalensee &amp; Stavins, 2017; Ellis et al., 2019; Harrington et al., 2004) documents how statutory cap-and-trade programs—beginning with Title IV of the 1990 Clean Air Act Amendments and evolving through CSAPR and MATS—reshaped the technological composition of the U.S. electric power sector. By pricing SO₂ and NOₓ emission allowances and mandating strict mercury limits, these policies accelerated the retirement of smaller, inefficient coal boilers while concentrating solid-fuel generation within massive baseload steam units capable of amortizing hundred-million-dollar scrubber retrofits. Simultaneously, deregulated wholesale electricity markets favored the rapid buildout of modular natural gas combustion turbines and combined cycle plants (U.S. EPA, 2024). Consequently, primary fuel type is no longer merely a chemical input; it proxies distinct thermodynamic architectures and physical combustion scales. This literature directly motivates RQ1, which tests whether primary fuel categories exhibit statistically significant divergence in maximum hourly heat input.</w:t>
      </w:r>
    </w:p>
    <w:p>
      <w:pPr>
        <w:spacing w:after="120" w:line="276" w:lineRule="auto"/>
        <w:jc w:val="left"/>
      </w:pPr>
      <w:r>
        <w:rPr>
          <w:rFonts w:ascii="Times New Roman" w:hAnsi="Times New Roman"/>
          <w:i w:val="0"/>
          <w:sz w:val="22"/>
        </w:rPr>
        <w:t>Theme 2: Generating Unit Vintage, Regulatory Grandfathering, and Scale Confounding (Supporting RQ3). Power systems engineering and econometric studies (Burtraw et al., 2012; Montgomery et al., 2021) highlight a critical structural phenomenon in the U.S. fleet known as regulatory 'grandfathering.' Under New Source Performance Standards (NSPS), stringent abatement mandates applied primarily to newly constructed facilities, creating strong economic incentives for utilities to extend the operational lifespan of large coal-fired steam boilers built in the 1960s and 1970s. Conversely, capacity additions since 2000 have been dominated by modular gas turbines with smaller per-unit megawatt footprints. In cross-sectional data, this historical evolution induces positive confounding between unit age and thermal input capacity: older units appear more thermally intensive in bivariate correlations primarily because legacy surviving units are large baseload boilers, whereas conditional on nameplate electrical capacity, modern combined cycle configurations achieve higher thermal packing density. Montgomery et al. (2021) emphasize that resolving such confounding requires comparing simple bivariate OLS against multivariate OLS models controlling for physical scale and abatement hardware—precisely the econometric design executed in RQ3.</w:t>
      </w:r>
    </w:p>
    <w:p>
      <w:pPr>
        <w:spacing w:after="120" w:line="276" w:lineRule="auto"/>
        <w:jc w:val="left"/>
      </w:pPr>
      <w:r>
        <w:rPr>
          <w:rFonts w:ascii="Times New Roman" w:hAnsi="Times New Roman"/>
          <w:i w:val="0"/>
          <w:sz w:val="22"/>
        </w:rPr>
        <w:t>Theme 3: Parametric and Non-Parametric Dual Inference on Skewed Industrial Data (Supporting RQ1 &amp; RQ3). Methodological treatises in mathematical statistics (Kruskal &amp; Wallis, 1952; Gibbons &amp; Chakraborti, 2011; Hollander et al., 2014; Field, 2018) demonstrate that industrial facility datasets routinely violate Gaussian normality and homoscedasticity assumptions due to extreme right-skewness (e.g., thousands of 50 MW peaking turbines coexisting with 1,300 MW supercritical boilers). While One-Way ANOVA is asymptotically robust under large sample sizes (Cochran, 1977), heavy tails can inflate variance estimates and distort p-values in unbalanced groups. Therefore, best-practice statistical rigor dictates pairing parametric One-Way ANOVA (reporting F-statistics, Eta-squared η² effect sizes, and Tukey HSD family-wise error-controlled contrasts) with the distribution-free Kruskal-Wallis H-test, and pairing Pearson linear correlation (r) with Spearman rank-order correlation (ρ).</w:t>
      </w:r>
    </w:p>
    <w:p>
      <w:pPr>
        <w:spacing w:after="120" w:line="276" w:lineRule="auto"/>
        <w:jc w:val="left"/>
      </w:pPr>
      <w:r>
        <w:rPr>
          <w:rFonts w:ascii="Times New Roman" w:hAnsi="Times New Roman"/>
          <w:i w:val="0"/>
          <w:sz w:val="22"/>
        </w:rPr>
        <w:t>Theme 4: Ensemble Machine Learning for Compliance Risk Classification (Supporting RQ2). In predictive analytics for tabular regulatory data, Breiman (2001) and Friedman (2001) proved that tree-based ensemble architectures—Random Forests and Gradient Boosting Machines—consistently outperform generalized linear models by automatically capturing non-linear threshold effects and high-order interactions (such as the interaction between coal combustion, boiler design, and multi-pollutant scrubber counts). While regularized Logistic Regression serves as an essential probabilistic linear benchmark, ensemble trees evaluated via stratified k-fold cross-validation and Receiver Operating Characteristic Area Under the Curve (ROC-AUC) maximize sensitivity and precision under moderate class imbalance (25.14% high-emitter prevalence).</w:t>
      </w:r>
    </w:p>
    <w:p>
      <w:pPr>
        <w:spacing w:after="120" w:line="276" w:lineRule="auto"/>
        <w:jc w:val="left"/>
      </w:pPr>
      <w:r>
        <w:rPr>
          <w:rFonts w:ascii="Times New Roman" w:hAnsi="Times New Roman"/>
          <w:i w:val="0"/>
          <w:sz w:val="22"/>
        </w:rPr>
        <w:t>Theme 5: Unsupervised Fleet Taxonomy and Modern AI Extensions (Supporting RQ4 &amp; Future Scope). Finally, MacQueen (1967) established K-Means clustering as a mathematically tractable method for partitioning multidimensional observations into homogeneous operational regimes. When applied to log-transformed, Z-score standardized facility attributes and projected onto orthogonal axes via Principal Component Analysis (PCA), unsupervised clustering uncovers latent fleet archetypes without reliance on pre-assigned labels. Furthermore, recent advances in deep learning for temporal CEMS telemetry and agentic large language model (LLM) compliance assistants build directly upon structured tabular baselines, positioning the present analytical pipeline as a foundational layer for next-generation automated environmental governance.</w:t>
      </w:r>
    </w:p>
    <w:p>
      <w:pPr>
        <w:keepNext/>
        <w:spacing w:before="320" w:after="160"/>
        <w:jc w:val="center"/>
      </w:pPr>
      <w:r>
        <w:rPr>
          <w:rFonts w:ascii="Times New Roman" w:hAnsi="Times New Roman"/>
          <w:b/>
          <w:color w:val="0F2240"/>
          <w:sz w:val="28"/>
        </w:rPr>
        <w:t>3. Materials and Method</w:t>
      </w:r>
    </w:p>
    <w:p>
      <w:pPr>
        <w:keepNext/>
        <w:spacing w:before="240" w:after="120"/>
        <w:jc w:val="left"/>
      </w:pPr>
      <w:r>
        <w:rPr>
          <w:rFonts w:ascii="Times New Roman" w:hAnsi="Times New Roman"/>
          <w:b/>
          <w:color w:val="19375F"/>
          <w:sz w:val="24"/>
        </w:rPr>
        <w:t>Data Sources, Access, and Inclusion/Exclusion Criteria</w:t>
      </w:r>
    </w:p>
    <w:p>
      <w:pPr>
        <w:spacing w:after="120" w:line="276" w:lineRule="auto"/>
        <w:jc w:val="left"/>
      </w:pPr>
      <w:r>
        <w:rPr>
          <w:rFonts w:ascii="Times New Roman" w:hAnsi="Times New Roman"/>
          <w:i w:val="0"/>
          <w:sz w:val="22"/>
        </w:rPr>
        <w:t>The empirical dataset analyzed in this study was acquired from the official United States Environmental Protection Agency (EPA) Clean Air Markets Program Data (CAMPD) bulk data repository (https://campd.epa.gov/data/bulk-data-files), specifically the 2025 Facility and Unit Attributes registry (facility-2025.csv). Under federal statute (40 CFR Part 75), all regulated electric generating units (EGUs)—typically fossil-fuel-fired boilers and turbines with nameplate capacities exceeding 25 MWe that supply electricity for sale to the grid—are legally mandated to submit verified unit-level technical and compliance attributes to the EPA. No web scraping of unstructured HTML was required, as the EPA provides authoritative comma-separated values (CSV) bulk exports.</w:t>
      </w:r>
    </w:p>
    <w:p>
      <w:pPr>
        <w:spacing w:after="120" w:line="276" w:lineRule="auto"/>
        <w:jc w:val="left"/>
      </w:pPr>
      <w:r>
        <w:rPr>
          <w:rFonts w:ascii="Times New Roman" w:hAnsi="Times New Roman"/>
          <w:i w:val="0"/>
          <w:sz w:val="22"/>
        </w:rPr>
        <w:t>The raw dataset comprises exactly N = 4,050 generating unit records distributed across 1,328 unique power generation facilities spanning 52 U.S. jurisdictions (all 50 states, the District of Columbia, and Puerto Rico) with 30 raw attribute columns. Explicit inclusion and exclusion criteria were established prior to preprocessing: (1) all regulated stationary power generating units registered in the 2025 CAMPD bulk file were included to preserve complete national population coverage; (2) primary key uniqueness was audited on the composite key (Facility ID + Unit ID), confirming zero duplicate records; and (3) rather than performing listwise deletion on records with partial missingness in secondary fields—which would introduce selection bias by disproportionately dropping smaller peaking units—domain-informed imputation was applied, achieving 100% data retention (N = 4,050 analyzed records, 0 records excluded). Table 2 presents the comprehensive Data Dictionary for the core raw and engineered attributes (see also Appendix A for the automated parsing code).</w:t>
      </w:r>
    </w:p>
    <w:p>
      <w:pPr>
        <w:keepNext/>
        <w:spacing w:before="240" w:after="40"/>
      </w:pPr>
      <w:r>
        <w:rPr>
          <w:rFonts w:ascii="Times New Roman" w:hAnsi="Times New Roman"/>
          <w:b/>
          <w:sz w:val="22"/>
        </w:rPr>
        <w:t>Table 2</w:t>
      </w:r>
    </w:p>
    <w:p>
      <w:pPr>
        <w:keepNext/>
        <w:spacing w:before="0" w:after="120"/>
      </w:pPr>
      <w:r>
        <w:rPr>
          <w:rFonts w:ascii="Times New Roman" w:hAnsi="Times New Roman"/>
          <w:i/>
          <w:sz w:val="22"/>
        </w:rPr>
        <w:t>Data Dictionary for Clean Air Markets Program Facility Attributes</w:t>
      </w:r>
    </w:p>
    <w:tbl>
      <w:tblPr>
        <w:tblW w:type="auto" w:w="0"/>
        <w:tblLook w:firstColumn="1" w:firstRow="1" w:lastColumn="0" w:lastRow="0" w:noHBand="0" w:noVBand="1" w:val="04A0"/>
        <w:jc w:val="center"/>
        <w:tblBorders>
          <w:top w:val="single" w:sz="12" w:space="0" w:color="000000"/>
          <w:bottom w:val="single" w:sz="12" w:space="0" w:color="000000"/>
          <w:insideH w:val="single" w:sz="4" w:space="0" w:color="E5E5E5"/>
          <w:insideV w:val="none"/>
          <w:left w:val="none"/>
          <w:right w:val="none"/>
        </w:tblBorders>
      </w:tblPr>
      <w:tblGrid>
        <w:gridCol w:w="1560"/>
        <w:gridCol w:w="1560"/>
        <w:gridCol w:w="1560"/>
        <w:gridCol w:w="1560"/>
        <w:gridCol w:w="1560"/>
        <w:gridCol w:w="1560"/>
      </w:tblGrid>
      <w:tr>
        <w:trPr>
          <w:tblHeader/>
        </w:trPr>
        <w:tc>
          <w:tcPr>
            <w:tcW w:type="dxa" w:w="1584"/>
            <w:tcBorders>
              <w:bottom w:val="single" w:sz="12" w:space="0" w:color="000000"/>
            </w:tcBorders>
            <w:shd w:fill="F4F6F8"/>
          </w:tcPr>
          <w:p>
            <w:pPr>
              <w:spacing w:before="60" w:after="60" w:line="240" w:lineRule="auto"/>
              <w:jc w:val="center"/>
            </w:pPr>
            <w:r>
              <w:rPr>
                <w:rFonts w:ascii="Times New Roman" w:hAnsi="Times New Roman"/>
                <w:b/>
                <w:sz w:val="19"/>
              </w:rPr>
              <w:t>Variable Name</w:t>
            </w:r>
          </w:p>
        </w:tc>
        <w:tc>
          <w:tcPr>
            <w:tcW w:type="dxa" w:w="2016"/>
            <w:tcBorders>
              <w:bottom w:val="single" w:sz="12" w:space="0" w:color="000000"/>
            </w:tcBorders>
            <w:shd w:fill="F4F6F8"/>
          </w:tcPr>
          <w:p>
            <w:pPr>
              <w:spacing w:before="60" w:after="60" w:line="240" w:lineRule="auto"/>
              <w:jc w:val="center"/>
            </w:pPr>
            <w:r>
              <w:rPr>
                <w:rFonts w:ascii="Times New Roman" w:hAnsi="Times New Roman"/>
                <w:b/>
                <w:sz w:val="19"/>
              </w:rPr>
              <w:t>Definition</w:t>
            </w:r>
          </w:p>
        </w:tc>
        <w:tc>
          <w:tcPr>
            <w:tcW w:type="dxa" w:w="1296"/>
            <w:tcBorders>
              <w:bottom w:val="single" w:sz="12" w:space="0" w:color="000000"/>
            </w:tcBorders>
            <w:shd w:fill="F4F6F8"/>
          </w:tcPr>
          <w:p>
            <w:pPr>
              <w:spacing w:before="60" w:after="60" w:line="240" w:lineRule="auto"/>
              <w:jc w:val="center"/>
            </w:pPr>
            <w:r>
              <w:rPr>
                <w:rFonts w:ascii="Times New Roman" w:hAnsi="Times New Roman"/>
                <w:b/>
                <w:sz w:val="19"/>
              </w:rPr>
              <w:t>Datatype</w:t>
            </w:r>
          </w:p>
        </w:tc>
        <w:tc>
          <w:tcPr>
            <w:tcW w:type="dxa" w:w="1584"/>
            <w:tcBorders>
              <w:bottom w:val="single" w:sz="12" w:space="0" w:color="000000"/>
            </w:tcBorders>
            <w:shd w:fill="F4F6F8"/>
          </w:tcPr>
          <w:p>
            <w:pPr>
              <w:spacing w:before="60" w:after="60" w:line="240" w:lineRule="auto"/>
              <w:jc w:val="center"/>
            </w:pPr>
            <w:r>
              <w:rPr>
                <w:rFonts w:ascii="Times New Roman" w:hAnsi="Times New Roman"/>
                <w:b/>
                <w:sz w:val="19"/>
              </w:rPr>
              <w:t>Allowed Values/Range</w:t>
            </w:r>
          </w:p>
        </w:tc>
        <w:tc>
          <w:tcPr>
            <w:tcW w:type="dxa" w:w="1728"/>
            <w:tcBorders>
              <w:bottom w:val="single" w:sz="12" w:space="0" w:color="000000"/>
            </w:tcBorders>
            <w:shd w:fill="F4F6F8"/>
          </w:tcPr>
          <w:p>
            <w:pPr>
              <w:spacing w:before="60" w:after="60" w:line="240" w:lineRule="auto"/>
              <w:jc w:val="center"/>
            </w:pPr>
            <w:r>
              <w:rPr>
                <w:rFonts w:ascii="Times New Roman" w:hAnsi="Times New Roman"/>
                <w:b/>
                <w:sz w:val="19"/>
              </w:rPr>
              <w:t>Missing Handling</w:t>
            </w:r>
          </w:p>
        </w:tc>
        <w:tc>
          <w:tcPr>
            <w:tcW w:type="dxa" w:w="1872"/>
            <w:tcBorders>
              <w:bottom w:val="single" w:sz="12" w:space="0" w:color="000000"/>
            </w:tcBorders>
            <w:shd w:fill="F4F6F8"/>
          </w:tcPr>
          <w:p>
            <w:pPr>
              <w:spacing w:before="60" w:after="60" w:line="240" w:lineRule="auto"/>
              <w:jc w:val="center"/>
            </w:pPr>
            <w:r>
              <w:rPr>
                <w:rFonts w:ascii="Times New Roman" w:hAnsi="Times New Roman"/>
                <w:b/>
                <w:sz w:val="19"/>
              </w:rPr>
              <w:t>Analytical Notes</w:t>
            </w:r>
          </w:p>
        </w:tc>
      </w:tr>
      <w:tr>
        <w:tc>
          <w:tcPr>
            <w:tcW w:type="dxa" w:w="1584"/>
          </w:tcPr>
          <w:p>
            <w:pPr>
              <w:spacing w:before="40" w:after="40" w:line="252" w:lineRule="auto"/>
              <w:jc w:val="left"/>
            </w:pPr>
            <w:r>
              <w:rPr>
                <w:rFonts w:ascii="Times New Roman" w:hAnsi="Times New Roman"/>
                <w:sz w:val="18"/>
              </w:rPr>
              <w:t>State</w:t>
            </w:r>
          </w:p>
        </w:tc>
        <w:tc>
          <w:tcPr>
            <w:tcW w:type="dxa" w:w="2016"/>
          </w:tcPr>
          <w:p>
            <w:pPr>
              <w:spacing w:before="40" w:after="40" w:line="252" w:lineRule="auto"/>
              <w:jc w:val="left"/>
            </w:pPr>
            <w:r>
              <w:rPr>
                <w:rFonts w:ascii="Times New Roman" w:hAnsi="Times New Roman"/>
                <w:sz w:val="18"/>
              </w:rPr>
              <w:t>U.S. state or territory postal code of facility</w:t>
            </w:r>
          </w:p>
        </w:tc>
        <w:tc>
          <w:tcPr>
            <w:tcW w:type="dxa" w:w="1296"/>
          </w:tcPr>
          <w:p>
            <w:pPr>
              <w:spacing w:before="40" w:after="40" w:line="252" w:lineRule="auto"/>
              <w:jc w:val="left"/>
            </w:pPr>
            <w:r>
              <w:rPr>
                <w:rFonts w:ascii="Times New Roman" w:hAnsi="Times New Roman"/>
                <w:sz w:val="18"/>
              </w:rPr>
              <w:t>String (Categorical)</w:t>
            </w:r>
          </w:p>
        </w:tc>
        <w:tc>
          <w:tcPr>
            <w:tcW w:type="dxa" w:w="1584"/>
          </w:tcPr>
          <w:p>
            <w:pPr>
              <w:spacing w:before="40" w:after="40" w:line="252" w:lineRule="auto"/>
              <w:jc w:val="left"/>
            </w:pPr>
            <w:r>
              <w:rPr>
                <w:rFonts w:ascii="Times New Roman" w:hAnsi="Times New Roman"/>
                <w:sz w:val="18"/>
              </w:rPr>
              <w:t>52 jurisdictions</w:t>
            </w:r>
          </w:p>
        </w:tc>
        <w:tc>
          <w:tcPr>
            <w:tcW w:type="dxa" w:w="1728"/>
          </w:tcPr>
          <w:p>
            <w:pPr>
              <w:spacing w:before="40" w:after="40" w:line="252" w:lineRule="auto"/>
              <w:jc w:val="left"/>
            </w:pPr>
            <w:r>
              <w:rPr>
                <w:rFonts w:ascii="Times New Roman" w:hAnsi="Times New Roman"/>
                <w:sz w:val="18"/>
              </w:rPr>
              <w:t>None (0 missing)</w:t>
            </w:r>
          </w:p>
        </w:tc>
        <w:tc>
          <w:tcPr>
            <w:tcW w:type="dxa" w:w="1872"/>
          </w:tcPr>
          <w:p>
            <w:pPr>
              <w:spacing w:before="40" w:after="40" w:line="252" w:lineRule="auto"/>
              <w:jc w:val="left"/>
            </w:pPr>
            <w:r>
              <w:rPr>
                <w:rFonts w:ascii="Times New Roman" w:hAnsi="Times New Roman"/>
                <w:sz w:val="18"/>
              </w:rPr>
              <w:t>Identifies state-level environmental jurisdiction.</w:t>
            </w:r>
          </w:p>
        </w:tc>
      </w:tr>
      <w:tr>
        <w:tc>
          <w:tcPr>
            <w:tcW w:type="dxa" w:w="1584"/>
            <w:shd w:fill="FAFAFA"/>
          </w:tcPr>
          <w:p>
            <w:pPr>
              <w:spacing w:before="40" w:after="40" w:line="252" w:lineRule="auto"/>
              <w:jc w:val="left"/>
            </w:pPr>
            <w:r>
              <w:rPr>
                <w:rFonts w:ascii="Times New Roman" w:hAnsi="Times New Roman"/>
                <w:sz w:val="18"/>
              </w:rPr>
              <w:t>Facility ID</w:t>
            </w:r>
          </w:p>
        </w:tc>
        <w:tc>
          <w:tcPr>
            <w:tcW w:type="dxa" w:w="2016"/>
            <w:shd w:fill="FAFAFA"/>
          </w:tcPr>
          <w:p>
            <w:pPr>
              <w:spacing w:before="40" w:after="40" w:line="252" w:lineRule="auto"/>
              <w:jc w:val="left"/>
            </w:pPr>
            <w:r>
              <w:rPr>
                <w:rFonts w:ascii="Times New Roman" w:hAnsi="Times New Roman"/>
                <w:sz w:val="18"/>
              </w:rPr>
              <w:t>Unique federal plant identifier (ORISPL code)</w:t>
            </w:r>
          </w:p>
        </w:tc>
        <w:tc>
          <w:tcPr>
            <w:tcW w:type="dxa" w:w="1296"/>
            <w:shd w:fill="FAFAFA"/>
          </w:tcPr>
          <w:p>
            <w:pPr>
              <w:spacing w:before="40" w:after="40" w:line="252" w:lineRule="auto"/>
              <w:jc w:val="left"/>
            </w:pPr>
            <w:r>
              <w:rPr>
                <w:rFonts w:ascii="Times New Roman" w:hAnsi="Times New Roman"/>
                <w:sz w:val="18"/>
              </w:rPr>
              <w:t>Integer</w:t>
            </w:r>
          </w:p>
        </w:tc>
        <w:tc>
          <w:tcPr>
            <w:tcW w:type="dxa" w:w="1584"/>
            <w:shd w:fill="FAFAFA"/>
          </w:tcPr>
          <w:p>
            <w:pPr>
              <w:spacing w:before="40" w:after="40" w:line="252" w:lineRule="auto"/>
              <w:jc w:val="left"/>
            </w:pPr>
            <w:r>
              <w:rPr>
                <w:rFonts w:ascii="Times New Roman" w:hAnsi="Times New Roman"/>
                <w:sz w:val="18"/>
              </w:rPr>
              <w:t>3 to 67540</w:t>
            </w:r>
          </w:p>
        </w:tc>
        <w:tc>
          <w:tcPr>
            <w:tcW w:type="dxa" w:w="1728"/>
            <w:shd w:fill="FAFAFA"/>
          </w:tcPr>
          <w:p>
            <w:pPr>
              <w:spacing w:before="40" w:after="40" w:line="252" w:lineRule="auto"/>
              <w:jc w:val="left"/>
            </w:pPr>
            <w:r>
              <w:rPr>
                <w:rFonts w:ascii="Times New Roman" w:hAnsi="Times New Roman"/>
                <w:sz w:val="18"/>
              </w:rPr>
              <w:t>None (0 missing)</w:t>
            </w:r>
          </w:p>
        </w:tc>
        <w:tc>
          <w:tcPr>
            <w:tcW w:type="dxa" w:w="1872"/>
            <w:shd w:fill="FAFAFA"/>
          </w:tcPr>
          <w:p>
            <w:pPr>
              <w:spacing w:before="40" w:after="40" w:line="252" w:lineRule="auto"/>
              <w:jc w:val="left"/>
            </w:pPr>
            <w:r>
              <w:rPr>
                <w:rFonts w:ascii="Times New Roman" w:hAnsi="Times New Roman"/>
                <w:sz w:val="18"/>
              </w:rPr>
              <w:t>Primary key for facility-level aggregation (1,328 plants).</w:t>
            </w:r>
          </w:p>
        </w:tc>
      </w:tr>
      <w:tr>
        <w:tc>
          <w:tcPr>
            <w:tcW w:type="dxa" w:w="1584"/>
          </w:tcPr>
          <w:p>
            <w:pPr>
              <w:spacing w:before="40" w:after="40" w:line="252" w:lineRule="auto"/>
              <w:jc w:val="left"/>
            </w:pPr>
            <w:r>
              <w:rPr>
                <w:rFonts w:ascii="Times New Roman" w:hAnsi="Times New Roman"/>
                <w:sz w:val="18"/>
              </w:rPr>
              <w:t>Facility Name</w:t>
            </w:r>
          </w:p>
        </w:tc>
        <w:tc>
          <w:tcPr>
            <w:tcW w:type="dxa" w:w="2016"/>
          </w:tcPr>
          <w:p>
            <w:pPr>
              <w:spacing w:before="40" w:after="40" w:line="252" w:lineRule="auto"/>
              <w:jc w:val="left"/>
            </w:pPr>
            <w:r>
              <w:rPr>
                <w:rFonts w:ascii="Times New Roman" w:hAnsi="Times New Roman"/>
                <w:sz w:val="18"/>
              </w:rPr>
              <w:t>Official registered power plant name</w:t>
            </w:r>
          </w:p>
        </w:tc>
        <w:tc>
          <w:tcPr>
            <w:tcW w:type="dxa" w:w="1296"/>
          </w:tcPr>
          <w:p>
            <w:pPr>
              <w:spacing w:before="40" w:after="40" w:line="252" w:lineRule="auto"/>
              <w:jc w:val="left"/>
            </w:pPr>
            <w:r>
              <w:rPr>
                <w:rFonts w:ascii="Times New Roman" w:hAnsi="Times New Roman"/>
                <w:sz w:val="18"/>
              </w:rPr>
              <w:t>String</w:t>
            </w:r>
          </w:p>
        </w:tc>
        <w:tc>
          <w:tcPr>
            <w:tcW w:type="dxa" w:w="1584"/>
          </w:tcPr>
          <w:p>
            <w:pPr>
              <w:spacing w:before="40" w:after="40" w:line="252" w:lineRule="auto"/>
              <w:jc w:val="left"/>
            </w:pPr>
            <w:r>
              <w:rPr>
                <w:rFonts w:ascii="Times New Roman" w:hAnsi="Times New Roman"/>
                <w:sz w:val="18"/>
              </w:rPr>
              <w:t>1,325 unique names</w:t>
            </w:r>
          </w:p>
        </w:tc>
        <w:tc>
          <w:tcPr>
            <w:tcW w:type="dxa" w:w="1728"/>
          </w:tcPr>
          <w:p>
            <w:pPr>
              <w:spacing w:before="40" w:after="40" w:line="252" w:lineRule="auto"/>
              <w:jc w:val="left"/>
            </w:pPr>
            <w:r>
              <w:rPr>
                <w:rFonts w:ascii="Times New Roman" w:hAnsi="Times New Roman"/>
                <w:sz w:val="18"/>
              </w:rPr>
              <w:t>None (0 missing)</w:t>
            </w:r>
          </w:p>
        </w:tc>
        <w:tc>
          <w:tcPr>
            <w:tcW w:type="dxa" w:w="1872"/>
          </w:tcPr>
          <w:p>
            <w:pPr>
              <w:spacing w:before="40" w:after="40" w:line="252" w:lineRule="auto"/>
              <w:jc w:val="left"/>
            </w:pPr>
            <w:r>
              <w:rPr>
                <w:rFonts w:ascii="Times New Roman" w:hAnsi="Times New Roman"/>
                <w:sz w:val="18"/>
              </w:rPr>
              <w:t>Commercial plant designation.</w:t>
            </w:r>
          </w:p>
        </w:tc>
      </w:tr>
      <w:tr>
        <w:tc>
          <w:tcPr>
            <w:tcW w:type="dxa" w:w="1584"/>
            <w:shd w:fill="FAFAFA"/>
          </w:tcPr>
          <w:p>
            <w:pPr>
              <w:spacing w:before="40" w:after="40" w:line="252" w:lineRule="auto"/>
              <w:jc w:val="left"/>
            </w:pPr>
            <w:r>
              <w:rPr>
                <w:rFonts w:ascii="Times New Roman" w:hAnsi="Times New Roman"/>
                <w:sz w:val="18"/>
              </w:rPr>
              <w:t>Unit ID</w:t>
            </w:r>
          </w:p>
        </w:tc>
        <w:tc>
          <w:tcPr>
            <w:tcW w:type="dxa" w:w="2016"/>
            <w:shd w:fill="FAFAFA"/>
          </w:tcPr>
          <w:p>
            <w:pPr>
              <w:spacing w:before="40" w:after="40" w:line="252" w:lineRule="auto"/>
              <w:jc w:val="left"/>
            </w:pPr>
            <w:r>
              <w:rPr>
                <w:rFonts w:ascii="Times New Roman" w:hAnsi="Times New Roman"/>
                <w:sz w:val="18"/>
              </w:rPr>
              <w:t>Internal boiler or turbine unit identifier</w:t>
            </w:r>
          </w:p>
        </w:tc>
        <w:tc>
          <w:tcPr>
            <w:tcW w:type="dxa" w:w="1296"/>
            <w:shd w:fill="FAFAFA"/>
          </w:tcPr>
          <w:p>
            <w:pPr>
              <w:spacing w:before="40" w:after="40" w:line="252" w:lineRule="auto"/>
              <w:jc w:val="left"/>
            </w:pPr>
            <w:r>
              <w:rPr>
                <w:rFonts w:ascii="Times New Roman" w:hAnsi="Times New Roman"/>
                <w:sz w:val="18"/>
              </w:rPr>
              <w:t>String</w:t>
            </w:r>
          </w:p>
        </w:tc>
        <w:tc>
          <w:tcPr>
            <w:tcW w:type="dxa" w:w="1584"/>
            <w:shd w:fill="FAFAFA"/>
          </w:tcPr>
          <w:p>
            <w:pPr>
              <w:spacing w:before="40" w:after="40" w:line="252" w:lineRule="auto"/>
              <w:jc w:val="left"/>
            </w:pPr>
            <w:r>
              <w:rPr>
                <w:rFonts w:ascii="Times New Roman" w:hAnsi="Times New Roman"/>
                <w:sz w:val="18"/>
              </w:rPr>
              <w:t>1,412 unique unit tags</w:t>
            </w:r>
          </w:p>
        </w:tc>
        <w:tc>
          <w:tcPr>
            <w:tcW w:type="dxa" w:w="1728"/>
            <w:shd w:fill="FAFAFA"/>
          </w:tcPr>
          <w:p>
            <w:pPr>
              <w:spacing w:before="40" w:after="40" w:line="252" w:lineRule="auto"/>
              <w:jc w:val="left"/>
            </w:pPr>
            <w:r>
              <w:rPr>
                <w:rFonts w:ascii="Times New Roman" w:hAnsi="Times New Roman"/>
                <w:sz w:val="18"/>
              </w:rPr>
              <w:t>None (0 missing)</w:t>
            </w:r>
          </w:p>
        </w:tc>
        <w:tc>
          <w:tcPr>
            <w:tcW w:type="dxa" w:w="1872"/>
            <w:shd w:fill="FAFAFA"/>
          </w:tcPr>
          <w:p>
            <w:pPr>
              <w:spacing w:before="40" w:after="40" w:line="252" w:lineRule="auto"/>
              <w:jc w:val="left"/>
            </w:pPr>
            <w:r>
              <w:rPr>
                <w:rFonts w:ascii="Times New Roman" w:hAnsi="Times New Roman"/>
                <w:sz w:val="18"/>
              </w:rPr>
              <w:t>Composite primary key with Facility ID (4,050 units).</w:t>
            </w:r>
          </w:p>
        </w:tc>
      </w:tr>
      <w:tr>
        <w:tc>
          <w:tcPr>
            <w:tcW w:type="dxa" w:w="1584"/>
          </w:tcPr>
          <w:p>
            <w:pPr>
              <w:spacing w:before="40" w:after="40" w:line="252" w:lineRule="auto"/>
              <w:jc w:val="left"/>
            </w:pPr>
            <w:r>
              <w:rPr>
                <w:rFonts w:ascii="Times New Roman" w:hAnsi="Times New Roman"/>
                <w:sz w:val="18"/>
              </w:rPr>
              <w:t>EPA Region</w:t>
            </w:r>
          </w:p>
        </w:tc>
        <w:tc>
          <w:tcPr>
            <w:tcW w:type="dxa" w:w="2016"/>
          </w:tcPr>
          <w:p>
            <w:pPr>
              <w:spacing w:before="40" w:after="40" w:line="252" w:lineRule="auto"/>
              <w:jc w:val="left"/>
            </w:pPr>
            <w:r>
              <w:rPr>
                <w:rFonts w:ascii="Times New Roman" w:hAnsi="Times New Roman"/>
                <w:sz w:val="18"/>
              </w:rPr>
              <w:t>Federal EPA administrative region (1–10)</w:t>
            </w:r>
          </w:p>
        </w:tc>
        <w:tc>
          <w:tcPr>
            <w:tcW w:type="dxa" w:w="1296"/>
          </w:tcPr>
          <w:p>
            <w:pPr>
              <w:spacing w:before="40" w:after="40" w:line="252" w:lineRule="auto"/>
              <w:jc w:val="left"/>
            </w:pPr>
            <w:r>
              <w:rPr>
                <w:rFonts w:ascii="Times New Roman" w:hAnsi="Times New Roman"/>
                <w:sz w:val="18"/>
              </w:rPr>
              <w:t>Integer (Categorical)</w:t>
            </w:r>
          </w:p>
        </w:tc>
        <w:tc>
          <w:tcPr>
            <w:tcW w:type="dxa" w:w="1584"/>
          </w:tcPr>
          <w:p>
            <w:pPr>
              <w:spacing w:before="40" w:after="40" w:line="252" w:lineRule="auto"/>
              <w:jc w:val="left"/>
            </w:pPr>
            <w:r>
              <w:rPr>
                <w:rFonts w:ascii="Times New Roman" w:hAnsi="Times New Roman"/>
                <w:sz w:val="18"/>
              </w:rPr>
              <w:t>Regions 1 to 10</w:t>
            </w:r>
          </w:p>
        </w:tc>
        <w:tc>
          <w:tcPr>
            <w:tcW w:type="dxa" w:w="1728"/>
          </w:tcPr>
          <w:p>
            <w:pPr>
              <w:spacing w:before="40" w:after="40" w:line="252" w:lineRule="auto"/>
              <w:jc w:val="left"/>
            </w:pPr>
            <w:r>
              <w:rPr>
                <w:rFonts w:ascii="Times New Roman" w:hAnsi="Times New Roman"/>
                <w:sz w:val="18"/>
              </w:rPr>
              <w:t>None (0 missing)</w:t>
            </w:r>
          </w:p>
        </w:tc>
        <w:tc>
          <w:tcPr>
            <w:tcW w:type="dxa" w:w="1872"/>
          </w:tcPr>
          <w:p>
            <w:pPr>
              <w:spacing w:before="40" w:after="40" w:line="252" w:lineRule="auto"/>
              <w:jc w:val="left"/>
            </w:pPr>
            <w:r>
              <w:rPr>
                <w:rFonts w:ascii="Times New Roman" w:hAnsi="Times New Roman"/>
                <w:sz w:val="18"/>
              </w:rPr>
              <w:t>One-hot encoded to control for regional enforcement.</w:t>
            </w:r>
          </w:p>
        </w:tc>
      </w:tr>
      <w:tr>
        <w:tc>
          <w:tcPr>
            <w:tcW w:type="dxa" w:w="1584"/>
            <w:shd w:fill="FAFAFA"/>
          </w:tcPr>
          <w:p>
            <w:pPr>
              <w:spacing w:before="40" w:after="40" w:line="252" w:lineRule="auto"/>
              <w:jc w:val="left"/>
            </w:pPr>
            <w:r>
              <w:rPr>
                <w:rFonts w:ascii="Times New Roman" w:hAnsi="Times New Roman"/>
                <w:sz w:val="18"/>
              </w:rPr>
              <w:t>Unit Type</w:t>
            </w:r>
          </w:p>
        </w:tc>
        <w:tc>
          <w:tcPr>
            <w:tcW w:type="dxa" w:w="2016"/>
            <w:shd w:fill="FAFAFA"/>
          </w:tcPr>
          <w:p>
            <w:pPr>
              <w:spacing w:before="40" w:after="40" w:line="252" w:lineRule="auto"/>
              <w:jc w:val="left"/>
            </w:pPr>
            <w:r>
              <w:rPr>
                <w:rFonts w:ascii="Times New Roman" w:hAnsi="Times New Roman"/>
                <w:sz w:val="18"/>
              </w:rPr>
              <w:t>Combustion boiler or turbine technology</w:t>
            </w:r>
          </w:p>
        </w:tc>
        <w:tc>
          <w:tcPr>
            <w:tcW w:type="dxa" w:w="1296"/>
            <w:shd w:fill="FAFAFA"/>
          </w:tcPr>
          <w:p>
            <w:pPr>
              <w:spacing w:before="40" w:after="40" w:line="252" w:lineRule="auto"/>
              <w:jc w:val="left"/>
            </w:pPr>
            <w:r>
              <w:rPr>
                <w:rFonts w:ascii="Times New Roman" w:hAnsi="Times New Roman"/>
                <w:sz w:val="18"/>
              </w:rPr>
              <w:t>String (Categorical)</w:t>
            </w:r>
          </w:p>
        </w:tc>
        <w:tc>
          <w:tcPr>
            <w:tcW w:type="dxa" w:w="1584"/>
            <w:shd w:fill="FAFAFA"/>
          </w:tcPr>
          <w:p>
            <w:pPr>
              <w:spacing w:before="40" w:after="40" w:line="252" w:lineRule="auto"/>
              <w:jc w:val="left"/>
            </w:pPr>
            <w:r>
              <w:rPr>
                <w:rFonts w:ascii="Times New Roman" w:hAnsi="Times New Roman"/>
                <w:sz w:val="18"/>
              </w:rPr>
              <w:t>33 raw codes</w:t>
            </w:r>
          </w:p>
        </w:tc>
        <w:tc>
          <w:tcPr>
            <w:tcW w:type="dxa" w:w="1728"/>
            <w:shd w:fill="FAFAFA"/>
          </w:tcPr>
          <w:p>
            <w:pPr>
              <w:spacing w:before="40" w:after="40" w:line="252" w:lineRule="auto"/>
              <w:jc w:val="left"/>
            </w:pPr>
            <w:r>
              <w:rPr>
                <w:rFonts w:ascii="Times New Roman" w:hAnsi="Times New Roman"/>
                <w:sz w:val="18"/>
              </w:rPr>
              <w:t>None (0 missing)</w:t>
            </w:r>
          </w:p>
        </w:tc>
        <w:tc>
          <w:tcPr>
            <w:tcW w:type="dxa" w:w="1872"/>
            <w:shd w:fill="FAFAFA"/>
          </w:tcPr>
          <w:p>
            <w:pPr>
              <w:spacing w:before="40" w:after="40" w:line="252" w:lineRule="auto"/>
              <w:jc w:val="left"/>
            </w:pPr>
            <w:r>
              <w:rPr>
                <w:rFonts w:ascii="Times New Roman" w:hAnsi="Times New Roman"/>
                <w:sz w:val="18"/>
              </w:rPr>
              <w:t>Consolidated into 5 primary technology categories.</w:t>
            </w:r>
          </w:p>
        </w:tc>
      </w:tr>
      <w:tr>
        <w:tc>
          <w:tcPr>
            <w:tcW w:type="dxa" w:w="1584"/>
          </w:tcPr>
          <w:p>
            <w:pPr>
              <w:spacing w:before="40" w:after="40" w:line="252" w:lineRule="auto"/>
              <w:jc w:val="left"/>
            </w:pPr>
            <w:r>
              <w:rPr>
                <w:rFonts w:ascii="Times New Roman" w:hAnsi="Times New Roman"/>
                <w:sz w:val="18"/>
              </w:rPr>
              <w:t>Primary Fuel Type</w:t>
            </w:r>
          </w:p>
        </w:tc>
        <w:tc>
          <w:tcPr>
            <w:tcW w:type="dxa" w:w="2016"/>
          </w:tcPr>
          <w:p>
            <w:pPr>
              <w:spacing w:before="40" w:after="40" w:line="252" w:lineRule="auto"/>
              <w:jc w:val="left"/>
            </w:pPr>
            <w:r>
              <w:rPr>
                <w:rFonts w:ascii="Times New Roman" w:hAnsi="Times New Roman"/>
                <w:sz w:val="18"/>
              </w:rPr>
              <w:t>Primary combustible fuel source</w:t>
            </w:r>
          </w:p>
        </w:tc>
        <w:tc>
          <w:tcPr>
            <w:tcW w:type="dxa" w:w="1296"/>
          </w:tcPr>
          <w:p>
            <w:pPr>
              <w:spacing w:before="40" w:after="40" w:line="252" w:lineRule="auto"/>
              <w:jc w:val="left"/>
            </w:pPr>
            <w:r>
              <w:rPr>
                <w:rFonts w:ascii="Times New Roman" w:hAnsi="Times New Roman"/>
                <w:sz w:val="18"/>
              </w:rPr>
              <w:t>String (Categorical)</w:t>
            </w:r>
          </w:p>
        </w:tc>
        <w:tc>
          <w:tcPr>
            <w:tcW w:type="dxa" w:w="1584"/>
          </w:tcPr>
          <w:p>
            <w:pPr>
              <w:spacing w:before="40" w:after="40" w:line="252" w:lineRule="auto"/>
              <w:jc w:val="left"/>
            </w:pPr>
            <w:r>
              <w:rPr>
                <w:rFonts w:ascii="Times New Roman" w:hAnsi="Times New Roman"/>
                <w:sz w:val="18"/>
              </w:rPr>
              <w:t>12 raw fuel codes</w:t>
            </w:r>
          </w:p>
        </w:tc>
        <w:tc>
          <w:tcPr>
            <w:tcW w:type="dxa" w:w="1728"/>
          </w:tcPr>
          <w:p>
            <w:pPr>
              <w:spacing w:before="40" w:after="40" w:line="252" w:lineRule="auto"/>
              <w:jc w:val="left"/>
            </w:pPr>
            <w:r>
              <w:rPr>
                <w:rFonts w:ascii="Times New Roman" w:hAnsi="Times New Roman"/>
                <w:sz w:val="18"/>
              </w:rPr>
              <w:t>44 missing (Recoded to Other/Unknown)</w:t>
            </w:r>
          </w:p>
        </w:tc>
        <w:tc>
          <w:tcPr>
            <w:tcW w:type="dxa" w:w="1872"/>
          </w:tcPr>
          <w:p>
            <w:pPr>
              <w:spacing w:before="40" w:after="40" w:line="252" w:lineRule="auto"/>
              <w:jc w:val="left"/>
            </w:pPr>
            <w:r>
              <w:rPr>
                <w:rFonts w:ascii="Times New Roman" w:hAnsi="Times New Roman"/>
                <w:sz w:val="18"/>
              </w:rPr>
              <w:t>Consolidated into 5 fuel categories for RQ1 &amp; RQ2.</w:t>
            </w:r>
          </w:p>
        </w:tc>
      </w:tr>
      <w:tr>
        <w:tc>
          <w:tcPr>
            <w:tcW w:type="dxa" w:w="1584"/>
            <w:shd w:fill="FAFAFA"/>
          </w:tcPr>
          <w:p>
            <w:pPr>
              <w:spacing w:before="40" w:after="40" w:line="252" w:lineRule="auto"/>
              <w:jc w:val="left"/>
            </w:pPr>
            <w:r>
              <w:rPr>
                <w:rFonts w:ascii="Times New Roman" w:hAnsi="Times New Roman"/>
                <w:sz w:val="18"/>
              </w:rPr>
              <w:t>Associated Generators &amp; Capacity</w:t>
            </w:r>
          </w:p>
        </w:tc>
        <w:tc>
          <w:tcPr>
            <w:tcW w:type="dxa" w:w="2016"/>
            <w:shd w:fill="FAFAFA"/>
          </w:tcPr>
          <w:p>
            <w:pPr>
              <w:spacing w:before="40" w:after="40" w:line="252" w:lineRule="auto"/>
              <w:jc w:val="left"/>
            </w:pPr>
            <w:r>
              <w:rPr>
                <w:rFonts w:ascii="Times New Roman" w:hAnsi="Times New Roman"/>
                <w:sz w:val="18"/>
              </w:rPr>
              <w:t>Generator ID and nameplate MWe string</w:t>
            </w:r>
          </w:p>
        </w:tc>
        <w:tc>
          <w:tcPr>
            <w:tcW w:type="dxa" w:w="1296"/>
            <w:shd w:fill="FAFAFA"/>
          </w:tcPr>
          <w:p>
            <w:pPr>
              <w:spacing w:before="40" w:after="40" w:line="252" w:lineRule="auto"/>
              <w:jc w:val="left"/>
            </w:pPr>
            <w:r>
              <w:rPr>
                <w:rFonts w:ascii="Times New Roman" w:hAnsi="Times New Roman"/>
                <w:sz w:val="18"/>
              </w:rPr>
              <w:t>String (Formatted text)</w:t>
            </w:r>
          </w:p>
        </w:tc>
        <w:tc>
          <w:tcPr>
            <w:tcW w:type="dxa" w:w="1584"/>
            <w:shd w:fill="FAFAFA"/>
          </w:tcPr>
          <w:p>
            <w:pPr>
              <w:spacing w:before="40" w:after="40" w:line="252" w:lineRule="auto"/>
              <w:jc w:val="left"/>
            </w:pPr>
            <w:r>
              <w:rPr>
                <w:rFonts w:ascii="Times New Roman" w:hAnsi="Times New Roman"/>
                <w:sz w:val="18"/>
              </w:rPr>
              <w:t>e.g., 'GEN1 (153.1)'</w:t>
            </w:r>
          </w:p>
        </w:tc>
        <w:tc>
          <w:tcPr>
            <w:tcW w:type="dxa" w:w="1728"/>
            <w:shd w:fill="FAFAFA"/>
          </w:tcPr>
          <w:p>
            <w:pPr>
              <w:spacing w:before="40" w:after="40" w:line="252" w:lineRule="auto"/>
              <w:jc w:val="left"/>
            </w:pPr>
            <w:r>
              <w:rPr>
                <w:rFonts w:ascii="Times New Roman" w:hAnsi="Times New Roman"/>
                <w:sz w:val="18"/>
              </w:rPr>
              <w:t>150 missing (3.70% imputed via median)</w:t>
            </w:r>
          </w:p>
        </w:tc>
        <w:tc>
          <w:tcPr>
            <w:tcW w:type="dxa" w:w="1872"/>
            <w:shd w:fill="FAFAFA"/>
          </w:tcPr>
          <w:p>
            <w:pPr>
              <w:spacing w:before="40" w:after="40" w:line="252" w:lineRule="auto"/>
              <w:jc w:val="left"/>
            </w:pPr>
            <w:r>
              <w:rPr>
                <w:rFonts w:ascii="Times New Roman" w:hAnsi="Times New Roman"/>
                <w:sz w:val="18"/>
              </w:rPr>
              <w:t>Parsed via regex to extract continuous Capacity_MW.</w:t>
            </w:r>
          </w:p>
        </w:tc>
      </w:tr>
      <w:tr>
        <w:tc>
          <w:tcPr>
            <w:tcW w:type="dxa" w:w="1584"/>
          </w:tcPr>
          <w:p>
            <w:pPr>
              <w:spacing w:before="40" w:after="40" w:line="252" w:lineRule="auto"/>
              <w:jc w:val="left"/>
            </w:pPr>
            <w:r>
              <w:rPr>
                <w:rFonts w:ascii="Times New Roman" w:hAnsi="Times New Roman"/>
                <w:sz w:val="18"/>
              </w:rPr>
              <w:t>Max Hourly HI Rate (mmBtu/hr)</w:t>
            </w:r>
          </w:p>
        </w:tc>
        <w:tc>
          <w:tcPr>
            <w:tcW w:type="dxa" w:w="2016"/>
          </w:tcPr>
          <w:p>
            <w:pPr>
              <w:spacing w:before="40" w:after="40" w:line="252" w:lineRule="auto"/>
              <w:jc w:val="left"/>
            </w:pPr>
            <w:r>
              <w:rPr>
                <w:rFonts w:ascii="Times New Roman" w:hAnsi="Times New Roman"/>
                <w:sz w:val="18"/>
              </w:rPr>
              <w:t>Maximum design hourly thermal heat input rate</w:t>
            </w:r>
          </w:p>
        </w:tc>
        <w:tc>
          <w:tcPr>
            <w:tcW w:type="dxa" w:w="1296"/>
          </w:tcPr>
          <w:p>
            <w:pPr>
              <w:spacing w:before="40" w:after="40" w:line="252" w:lineRule="auto"/>
              <w:jc w:val="left"/>
            </w:pPr>
            <w:r>
              <w:rPr>
                <w:rFonts w:ascii="Times New Roman" w:hAnsi="Times New Roman"/>
                <w:sz w:val="18"/>
              </w:rPr>
              <w:t>Float (Continuous)</w:t>
            </w:r>
          </w:p>
        </w:tc>
        <w:tc>
          <w:tcPr>
            <w:tcW w:type="dxa" w:w="1584"/>
          </w:tcPr>
          <w:p>
            <w:pPr>
              <w:spacing w:before="40" w:after="40" w:line="252" w:lineRule="auto"/>
              <w:jc w:val="left"/>
            </w:pPr>
            <w:r>
              <w:rPr>
                <w:rFonts w:ascii="Times New Roman" w:hAnsi="Times New Roman"/>
                <w:sz w:val="18"/>
              </w:rPr>
              <w:t>94.0 to 16,250.0 mmBtu/hr</w:t>
            </w:r>
          </w:p>
        </w:tc>
        <w:tc>
          <w:tcPr>
            <w:tcW w:type="dxa" w:w="1728"/>
          </w:tcPr>
          <w:p>
            <w:pPr>
              <w:spacing w:before="40" w:after="40" w:line="252" w:lineRule="auto"/>
              <w:jc w:val="left"/>
            </w:pPr>
            <w:r>
              <w:rPr>
                <w:rFonts w:ascii="Times New Roman" w:hAnsi="Times New Roman"/>
                <w:sz w:val="18"/>
              </w:rPr>
              <w:t>44 missing (1.09% imputed via ratio)</w:t>
            </w:r>
          </w:p>
        </w:tc>
        <w:tc>
          <w:tcPr>
            <w:tcW w:type="dxa" w:w="1872"/>
          </w:tcPr>
          <w:p>
            <w:pPr>
              <w:spacing w:before="40" w:after="40" w:line="252" w:lineRule="auto"/>
              <w:jc w:val="left"/>
            </w:pPr>
            <w:r>
              <w:rPr>
                <w:rFonts w:ascii="Times New Roman" w:hAnsi="Times New Roman"/>
                <w:sz w:val="18"/>
              </w:rPr>
              <w:t>Continuous dependent variable Y for RQ1 and RQ3.</w:t>
            </w:r>
          </w:p>
        </w:tc>
      </w:tr>
      <w:tr>
        <w:tc>
          <w:tcPr>
            <w:tcW w:type="dxa" w:w="1584"/>
            <w:shd w:fill="FAFAFA"/>
          </w:tcPr>
          <w:p>
            <w:pPr>
              <w:spacing w:before="40" w:after="40" w:line="252" w:lineRule="auto"/>
              <w:jc w:val="left"/>
            </w:pPr>
            <w:r>
              <w:rPr>
                <w:rFonts w:ascii="Times New Roman" w:hAnsi="Times New Roman"/>
                <w:sz w:val="18"/>
              </w:rPr>
              <w:t>Commercial Operation Date</w:t>
            </w:r>
          </w:p>
        </w:tc>
        <w:tc>
          <w:tcPr>
            <w:tcW w:type="dxa" w:w="2016"/>
            <w:shd w:fill="FAFAFA"/>
          </w:tcPr>
          <w:p>
            <w:pPr>
              <w:spacing w:before="40" w:after="40" w:line="252" w:lineRule="auto"/>
              <w:jc w:val="left"/>
            </w:pPr>
            <w:r>
              <w:rPr>
                <w:rFonts w:ascii="Times New Roman" w:hAnsi="Times New Roman"/>
                <w:sz w:val="18"/>
              </w:rPr>
              <w:t>Date unit began commercial power generation</w:t>
            </w:r>
          </w:p>
        </w:tc>
        <w:tc>
          <w:tcPr>
            <w:tcW w:type="dxa" w:w="1296"/>
            <w:shd w:fill="FAFAFA"/>
          </w:tcPr>
          <w:p>
            <w:pPr>
              <w:spacing w:before="40" w:after="40" w:line="252" w:lineRule="auto"/>
              <w:jc w:val="left"/>
            </w:pPr>
            <w:r>
              <w:rPr>
                <w:rFonts w:ascii="Times New Roman" w:hAnsi="Times New Roman"/>
                <w:sz w:val="18"/>
              </w:rPr>
              <w:t>Date / String</w:t>
            </w:r>
          </w:p>
        </w:tc>
        <w:tc>
          <w:tcPr>
            <w:tcW w:type="dxa" w:w="1584"/>
            <w:shd w:fill="FAFAFA"/>
          </w:tcPr>
          <w:p>
            <w:pPr>
              <w:spacing w:before="40" w:after="40" w:line="252" w:lineRule="auto"/>
              <w:jc w:val="left"/>
            </w:pPr>
            <w:r>
              <w:rPr>
                <w:rFonts w:ascii="Times New Roman" w:hAnsi="Times New Roman"/>
                <w:sz w:val="18"/>
              </w:rPr>
              <w:t>1930-01-01 to 2025-11-23</w:t>
            </w:r>
          </w:p>
        </w:tc>
        <w:tc>
          <w:tcPr>
            <w:tcW w:type="dxa" w:w="1728"/>
            <w:shd w:fill="FAFAFA"/>
          </w:tcPr>
          <w:p>
            <w:pPr>
              <w:spacing w:before="40" w:after="40" w:line="252" w:lineRule="auto"/>
              <w:jc w:val="left"/>
            </w:pPr>
            <w:r>
              <w:rPr>
                <w:rFonts w:ascii="Times New Roman" w:hAnsi="Times New Roman"/>
                <w:sz w:val="18"/>
              </w:rPr>
              <w:t>36 missing (0.89% imputed via median)</w:t>
            </w:r>
          </w:p>
        </w:tc>
        <w:tc>
          <w:tcPr>
            <w:tcW w:type="dxa" w:w="1872"/>
            <w:shd w:fill="FAFAFA"/>
          </w:tcPr>
          <w:p>
            <w:pPr>
              <w:spacing w:before="40" w:after="40" w:line="252" w:lineRule="auto"/>
              <w:jc w:val="left"/>
            </w:pPr>
            <w:r>
              <w:rPr>
                <w:rFonts w:ascii="Times New Roman" w:hAnsi="Times New Roman"/>
                <w:sz w:val="18"/>
              </w:rPr>
              <w:t>Converted to continuous Unit_Age = 2025 - Year.</w:t>
            </w:r>
          </w:p>
        </w:tc>
      </w:tr>
      <w:tr>
        <w:tc>
          <w:tcPr>
            <w:tcW w:type="dxa" w:w="1584"/>
          </w:tcPr>
          <w:p>
            <w:pPr>
              <w:spacing w:before="40" w:after="40" w:line="252" w:lineRule="auto"/>
              <w:jc w:val="left"/>
            </w:pPr>
            <w:r>
              <w:rPr>
                <w:rFonts w:ascii="Times New Roman" w:hAnsi="Times New Roman"/>
                <w:sz w:val="18"/>
              </w:rPr>
              <w:t>Operating Status</w:t>
            </w:r>
          </w:p>
        </w:tc>
        <w:tc>
          <w:tcPr>
            <w:tcW w:type="dxa" w:w="2016"/>
          </w:tcPr>
          <w:p>
            <w:pPr>
              <w:spacing w:before="40" w:after="40" w:line="252" w:lineRule="auto"/>
              <w:jc w:val="left"/>
            </w:pPr>
            <w:r>
              <w:rPr>
                <w:rFonts w:ascii="Times New Roman" w:hAnsi="Times New Roman"/>
                <w:sz w:val="18"/>
              </w:rPr>
              <w:t>Operational status during 2025 reporting year</w:t>
            </w:r>
          </w:p>
        </w:tc>
        <w:tc>
          <w:tcPr>
            <w:tcW w:type="dxa" w:w="1296"/>
          </w:tcPr>
          <w:p>
            <w:pPr>
              <w:spacing w:before="40" w:after="40" w:line="252" w:lineRule="auto"/>
              <w:jc w:val="left"/>
            </w:pPr>
            <w:r>
              <w:rPr>
                <w:rFonts w:ascii="Times New Roman" w:hAnsi="Times New Roman"/>
                <w:sz w:val="18"/>
              </w:rPr>
              <w:t>String (Categorical)</w:t>
            </w:r>
          </w:p>
        </w:tc>
        <w:tc>
          <w:tcPr>
            <w:tcW w:type="dxa" w:w="1584"/>
          </w:tcPr>
          <w:p>
            <w:pPr>
              <w:spacing w:before="40" w:after="40" w:line="252" w:lineRule="auto"/>
              <w:jc w:val="left"/>
            </w:pPr>
            <w:r>
              <w:rPr>
                <w:rFonts w:ascii="Times New Roman" w:hAnsi="Times New Roman"/>
                <w:sz w:val="18"/>
              </w:rPr>
              <w:t>Operating, Retired, Future</w:t>
            </w:r>
          </w:p>
        </w:tc>
        <w:tc>
          <w:tcPr>
            <w:tcW w:type="dxa" w:w="1728"/>
          </w:tcPr>
          <w:p>
            <w:pPr>
              <w:spacing w:before="40" w:after="40" w:line="252" w:lineRule="auto"/>
              <w:jc w:val="left"/>
            </w:pPr>
            <w:r>
              <w:rPr>
                <w:rFonts w:ascii="Times New Roman" w:hAnsi="Times New Roman"/>
                <w:sz w:val="18"/>
              </w:rPr>
              <w:t>None (0 missing)</w:t>
            </w:r>
          </w:p>
        </w:tc>
        <w:tc>
          <w:tcPr>
            <w:tcW w:type="dxa" w:w="1872"/>
          </w:tcPr>
          <w:p>
            <w:pPr>
              <w:spacing w:before="40" w:after="40" w:line="252" w:lineRule="auto"/>
              <w:jc w:val="left"/>
            </w:pPr>
            <w:r>
              <w:rPr>
                <w:rFonts w:ascii="Times New Roman" w:hAnsi="Times New Roman"/>
                <w:sz w:val="18"/>
              </w:rPr>
              <w:t>Recoded into binary Is_Operating indicator.</w:t>
            </w:r>
          </w:p>
        </w:tc>
      </w:tr>
      <w:tr>
        <w:tc>
          <w:tcPr>
            <w:tcW w:type="dxa" w:w="1584"/>
            <w:shd w:fill="FAFAFA"/>
          </w:tcPr>
          <w:p>
            <w:pPr>
              <w:spacing w:before="40" w:after="40" w:line="252" w:lineRule="auto"/>
              <w:jc w:val="left"/>
            </w:pPr>
            <w:r>
              <w:rPr>
                <w:rFonts w:ascii="Times New Roman" w:hAnsi="Times New Roman"/>
                <w:sz w:val="18"/>
              </w:rPr>
              <w:t>SO2 / NOx / PM / Hg Controls</w:t>
            </w:r>
          </w:p>
        </w:tc>
        <w:tc>
          <w:tcPr>
            <w:tcW w:type="dxa" w:w="2016"/>
            <w:shd w:fill="FAFAFA"/>
          </w:tcPr>
          <w:p>
            <w:pPr>
              <w:spacing w:before="40" w:after="40" w:line="252" w:lineRule="auto"/>
              <w:jc w:val="left"/>
            </w:pPr>
            <w:r>
              <w:rPr>
                <w:rFonts w:ascii="Times New Roman" w:hAnsi="Times New Roman"/>
                <w:sz w:val="18"/>
              </w:rPr>
              <w:t>Installed pollution abatement hardware strings</w:t>
            </w:r>
          </w:p>
        </w:tc>
        <w:tc>
          <w:tcPr>
            <w:tcW w:type="dxa" w:w="1296"/>
            <w:shd w:fill="FAFAFA"/>
          </w:tcPr>
          <w:p>
            <w:pPr>
              <w:spacing w:before="40" w:after="40" w:line="252" w:lineRule="auto"/>
              <w:jc w:val="left"/>
            </w:pPr>
            <w:r>
              <w:rPr>
                <w:rFonts w:ascii="Times New Roman" w:hAnsi="Times New Roman"/>
                <w:sz w:val="18"/>
              </w:rPr>
              <w:t>String (Multi-valued)</w:t>
            </w:r>
          </w:p>
        </w:tc>
        <w:tc>
          <w:tcPr>
            <w:tcW w:type="dxa" w:w="1584"/>
            <w:shd w:fill="FAFAFA"/>
          </w:tcPr>
          <w:p>
            <w:pPr>
              <w:spacing w:before="40" w:after="40" w:line="252" w:lineRule="auto"/>
              <w:jc w:val="left"/>
            </w:pPr>
            <w:r>
              <w:rPr>
                <w:rFonts w:ascii="Times New Roman" w:hAnsi="Times New Roman"/>
                <w:sz w:val="18"/>
              </w:rPr>
              <w:t>Wet FGD, SCR, ESP, Baghouse, ACI</w:t>
            </w:r>
          </w:p>
        </w:tc>
        <w:tc>
          <w:tcPr>
            <w:tcW w:type="dxa" w:w="1728"/>
            <w:shd w:fill="FAFAFA"/>
          </w:tcPr>
          <w:p>
            <w:pPr>
              <w:spacing w:before="40" w:after="40" w:line="252" w:lineRule="auto"/>
              <w:jc w:val="left"/>
            </w:pPr>
            <w:r>
              <w:rPr>
                <w:rFonts w:ascii="Times New Roman" w:hAnsi="Times New Roman"/>
                <w:sz w:val="18"/>
              </w:rPr>
              <w:t>596 to 3,877 blank (= Uncontrolled)</w:t>
            </w:r>
          </w:p>
        </w:tc>
        <w:tc>
          <w:tcPr>
            <w:tcW w:type="dxa" w:w="1872"/>
            <w:shd w:fill="FAFAFA"/>
          </w:tcPr>
          <w:p>
            <w:pPr>
              <w:spacing w:before="40" w:after="40" w:line="252" w:lineRule="auto"/>
              <w:jc w:val="left"/>
            </w:pPr>
            <w:r>
              <w:rPr>
                <w:rFonts w:ascii="Times New Roman" w:hAnsi="Times New Roman"/>
                <w:sz w:val="18"/>
              </w:rPr>
              <w:t>Encoded into 4 binary flags and summed into Control_Count.</w:t>
            </w:r>
          </w:p>
        </w:tc>
      </w:tr>
      <w:tr>
        <w:tc>
          <w:tcPr>
            <w:tcW w:type="dxa" w:w="1584"/>
          </w:tcPr>
          <w:p>
            <w:pPr>
              <w:spacing w:before="40" w:after="40" w:line="252" w:lineRule="auto"/>
              <w:jc w:val="left"/>
            </w:pPr>
            <w:r>
              <w:rPr>
                <w:rFonts w:ascii="Times New Roman" w:hAnsi="Times New Roman"/>
                <w:sz w:val="18"/>
              </w:rPr>
              <w:t>Capacity_MW</w:t>
            </w:r>
          </w:p>
        </w:tc>
        <w:tc>
          <w:tcPr>
            <w:tcW w:type="dxa" w:w="2016"/>
          </w:tcPr>
          <w:p>
            <w:pPr>
              <w:spacing w:before="40" w:after="40" w:line="252" w:lineRule="auto"/>
              <w:jc w:val="left"/>
            </w:pPr>
            <w:r>
              <w:rPr>
                <w:rFonts w:ascii="Times New Roman" w:hAnsi="Times New Roman"/>
                <w:sz w:val="18"/>
              </w:rPr>
              <w:t>Engineered total unit electrical capacity</w:t>
            </w:r>
          </w:p>
        </w:tc>
        <w:tc>
          <w:tcPr>
            <w:tcW w:type="dxa" w:w="1296"/>
          </w:tcPr>
          <w:p>
            <w:pPr>
              <w:spacing w:before="40" w:after="40" w:line="252" w:lineRule="auto"/>
              <w:jc w:val="left"/>
            </w:pPr>
            <w:r>
              <w:rPr>
                <w:rFonts w:ascii="Times New Roman" w:hAnsi="Times New Roman"/>
                <w:sz w:val="18"/>
              </w:rPr>
              <w:t>Float (Continuous)</w:t>
            </w:r>
          </w:p>
        </w:tc>
        <w:tc>
          <w:tcPr>
            <w:tcW w:type="dxa" w:w="1584"/>
          </w:tcPr>
          <w:p>
            <w:pPr>
              <w:spacing w:before="40" w:after="40" w:line="252" w:lineRule="auto"/>
              <w:jc w:val="left"/>
            </w:pPr>
            <w:r>
              <w:rPr>
                <w:rFonts w:ascii="Times New Roman" w:hAnsi="Times New Roman"/>
                <w:sz w:val="18"/>
              </w:rPr>
              <w:t>1.0 to 1,300.0 MWe (Mean = 207.2)</w:t>
            </w:r>
          </w:p>
        </w:tc>
        <w:tc>
          <w:tcPr>
            <w:tcW w:type="dxa" w:w="1728"/>
          </w:tcPr>
          <w:p>
            <w:pPr>
              <w:spacing w:before="40" w:after="40" w:line="252" w:lineRule="auto"/>
              <w:jc w:val="left"/>
            </w:pPr>
            <w:r>
              <w:rPr>
                <w:rFonts w:ascii="Times New Roman" w:hAnsi="Times New Roman"/>
                <w:sz w:val="18"/>
              </w:rPr>
              <w:t>0 missing post-imputation</w:t>
            </w:r>
          </w:p>
        </w:tc>
        <w:tc>
          <w:tcPr>
            <w:tcW w:type="dxa" w:w="1872"/>
          </w:tcPr>
          <w:p>
            <w:pPr>
              <w:spacing w:before="40" w:after="40" w:line="252" w:lineRule="auto"/>
              <w:jc w:val="left"/>
            </w:pPr>
            <w:r>
              <w:rPr>
                <w:rFonts w:ascii="Times New Roman" w:hAnsi="Times New Roman"/>
                <w:sz w:val="18"/>
              </w:rPr>
              <w:t>Primary physical scale predictor in RQ2, RQ3, RQ4.</w:t>
            </w:r>
          </w:p>
        </w:tc>
      </w:tr>
      <w:tr>
        <w:tc>
          <w:tcPr>
            <w:tcW w:type="dxa" w:w="1584"/>
            <w:shd w:fill="FAFAFA"/>
          </w:tcPr>
          <w:p>
            <w:pPr>
              <w:spacing w:before="40" w:after="40" w:line="252" w:lineRule="auto"/>
              <w:jc w:val="left"/>
            </w:pPr>
            <w:r>
              <w:rPr>
                <w:rFonts w:ascii="Times New Roman" w:hAnsi="Times New Roman"/>
                <w:sz w:val="18"/>
              </w:rPr>
              <w:t>Unit_Age</w:t>
            </w:r>
          </w:p>
        </w:tc>
        <w:tc>
          <w:tcPr>
            <w:tcW w:type="dxa" w:w="2016"/>
            <w:shd w:fill="FAFAFA"/>
          </w:tcPr>
          <w:p>
            <w:pPr>
              <w:spacing w:before="40" w:after="40" w:line="252" w:lineRule="auto"/>
              <w:jc w:val="left"/>
            </w:pPr>
            <w:r>
              <w:rPr>
                <w:rFonts w:ascii="Times New Roman" w:hAnsi="Times New Roman"/>
                <w:sz w:val="18"/>
              </w:rPr>
              <w:t>Engineered operating vintage in years</w:t>
            </w:r>
          </w:p>
        </w:tc>
        <w:tc>
          <w:tcPr>
            <w:tcW w:type="dxa" w:w="1296"/>
            <w:shd w:fill="FAFAFA"/>
          </w:tcPr>
          <w:p>
            <w:pPr>
              <w:spacing w:before="40" w:after="40" w:line="252" w:lineRule="auto"/>
              <w:jc w:val="left"/>
            </w:pPr>
            <w:r>
              <w:rPr>
                <w:rFonts w:ascii="Times New Roman" w:hAnsi="Times New Roman"/>
                <w:sz w:val="18"/>
              </w:rPr>
              <w:t>Float (Continuous)</w:t>
            </w:r>
          </w:p>
        </w:tc>
        <w:tc>
          <w:tcPr>
            <w:tcW w:type="dxa" w:w="1584"/>
            <w:shd w:fill="FAFAFA"/>
          </w:tcPr>
          <w:p>
            <w:pPr>
              <w:spacing w:before="40" w:after="40" w:line="252" w:lineRule="auto"/>
              <w:jc w:val="left"/>
            </w:pPr>
            <w:r>
              <w:rPr>
                <w:rFonts w:ascii="Times New Roman" w:hAnsi="Times New Roman"/>
                <w:sz w:val="18"/>
              </w:rPr>
              <w:t>0.0 to 95.0 yrs (Mean = 30.7)</w:t>
            </w:r>
          </w:p>
        </w:tc>
        <w:tc>
          <w:tcPr>
            <w:tcW w:type="dxa" w:w="1728"/>
            <w:shd w:fill="FAFAFA"/>
          </w:tcPr>
          <w:p>
            <w:pPr>
              <w:spacing w:before="40" w:after="40" w:line="252" w:lineRule="auto"/>
              <w:jc w:val="left"/>
            </w:pPr>
            <w:r>
              <w:rPr>
                <w:rFonts w:ascii="Times New Roman" w:hAnsi="Times New Roman"/>
                <w:sz w:val="18"/>
              </w:rPr>
              <w:t>0 missing post-imputation</w:t>
            </w:r>
          </w:p>
        </w:tc>
        <w:tc>
          <w:tcPr>
            <w:tcW w:type="dxa" w:w="1872"/>
            <w:shd w:fill="FAFAFA"/>
          </w:tcPr>
          <w:p>
            <w:pPr>
              <w:spacing w:before="40" w:after="40" w:line="252" w:lineRule="auto"/>
              <w:jc w:val="left"/>
            </w:pPr>
            <w:r>
              <w:rPr>
                <w:rFonts w:ascii="Times New Roman" w:hAnsi="Times New Roman"/>
                <w:sz w:val="18"/>
              </w:rPr>
              <w:t>Primary explanatory variable in RQ3; predictor in RQ2, RQ4.</w:t>
            </w:r>
          </w:p>
        </w:tc>
      </w:tr>
      <w:tr>
        <w:tc>
          <w:tcPr>
            <w:tcW w:type="dxa" w:w="1584"/>
          </w:tcPr>
          <w:p>
            <w:pPr>
              <w:spacing w:before="40" w:after="40" w:line="252" w:lineRule="auto"/>
              <w:jc w:val="left"/>
            </w:pPr>
            <w:r>
              <w:rPr>
                <w:rFonts w:ascii="Times New Roman" w:hAnsi="Times New Roman"/>
                <w:sz w:val="18"/>
              </w:rPr>
              <w:t>Control_Count</w:t>
            </w:r>
          </w:p>
        </w:tc>
        <w:tc>
          <w:tcPr>
            <w:tcW w:type="dxa" w:w="2016"/>
          </w:tcPr>
          <w:p>
            <w:pPr>
              <w:spacing w:before="40" w:after="40" w:line="252" w:lineRule="auto"/>
              <w:jc w:val="left"/>
            </w:pPr>
            <w:r>
              <w:rPr>
                <w:rFonts w:ascii="Times New Roman" w:hAnsi="Times New Roman"/>
                <w:sz w:val="18"/>
              </w:rPr>
              <w:t>Total installed pollution control systems</w:t>
            </w:r>
          </w:p>
        </w:tc>
        <w:tc>
          <w:tcPr>
            <w:tcW w:type="dxa" w:w="1296"/>
          </w:tcPr>
          <w:p>
            <w:pPr>
              <w:spacing w:before="40" w:after="40" w:line="252" w:lineRule="auto"/>
              <w:jc w:val="left"/>
            </w:pPr>
            <w:r>
              <w:rPr>
                <w:rFonts w:ascii="Times New Roman" w:hAnsi="Times New Roman"/>
                <w:sz w:val="18"/>
              </w:rPr>
              <w:t>Integer (Discrete)</w:t>
            </w:r>
          </w:p>
        </w:tc>
        <w:tc>
          <w:tcPr>
            <w:tcW w:type="dxa" w:w="1584"/>
          </w:tcPr>
          <w:p>
            <w:pPr>
              <w:spacing w:before="40" w:after="40" w:line="252" w:lineRule="auto"/>
              <w:jc w:val="left"/>
            </w:pPr>
            <w:r>
              <w:rPr>
                <w:rFonts w:ascii="Times New Roman" w:hAnsi="Times New Roman"/>
                <w:sz w:val="18"/>
              </w:rPr>
              <w:t>0 to 4 systems (Mean = 1.11)</w:t>
            </w:r>
          </w:p>
        </w:tc>
        <w:tc>
          <w:tcPr>
            <w:tcW w:type="dxa" w:w="1728"/>
          </w:tcPr>
          <w:p>
            <w:pPr>
              <w:spacing w:before="40" w:after="40" w:line="252" w:lineRule="auto"/>
              <w:jc w:val="left"/>
            </w:pPr>
            <w:r>
              <w:rPr>
                <w:rFonts w:ascii="Times New Roman" w:hAnsi="Times New Roman"/>
                <w:sz w:val="18"/>
              </w:rPr>
              <w:t>0 missing post-engineering</w:t>
            </w:r>
          </w:p>
        </w:tc>
        <w:tc>
          <w:tcPr>
            <w:tcW w:type="dxa" w:w="1872"/>
          </w:tcPr>
          <w:p>
            <w:pPr>
              <w:spacing w:before="40" w:after="40" w:line="252" w:lineRule="auto"/>
              <w:jc w:val="left"/>
            </w:pPr>
            <w:r>
              <w:rPr>
                <w:rFonts w:ascii="Times New Roman" w:hAnsi="Times New Roman"/>
                <w:sz w:val="18"/>
              </w:rPr>
              <w:t>Measures multi-pollutant abatement capital intensity.</w:t>
            </w:r>
          </w:p>
        </w:tc>
      </w:tr>
      <w:tr>
        <w:tc>
          <w:tcPr>
            <w:tcW w:type="dxa" w:w="1584"/>
            <w:shd w:fill="FAFAFA"/>
          </w:tcPr>
          <w:p>
            <w:pPr>
              <w:spacing w:before="40" w:after="40" w:line="252" w:lineRule="auto"/>
              <w:jc w:val="left"/>
            </w:pPr>
            <w:r>
              <w:rPr>
                <w:rFonts w:ascii="Times New Roman" w:hAnsi="Times New Roman"/>
                <w:sz w:val="18"/>
              </w:rPr>
              <w:t>High_Emitter</w:t>
            </w:r>
          </w:p>
        </w:tc>
        <w:tc>
          <w:tcPr>
            <w:tcW w:type="dxa" w:w="2016"/>
            <w:shd w:fill="FAFAFA"/>
          </w:tcPr>
          <w:p>
            <w:pPr>
              <w:spacing w:before="40" w:after="40" w:line="252" w:lineRule="auto"/>
              <w:jc w:val="left"/>
            </w:pPr>
            <w:r>
              <w:rPr>
                <w:rFonts w:ascii="Times New Roman" w:hAnsi="Times New Roman"/>
                <w:sz w:val="18"/>
              </w:rPr>
              <w:t>Binary top-quartile thermal emission indicator</w:t>
            </w:r>
          </w:p>
        </w:tc>
        <w:tc>
          <w:tcPr>
            <w:tcW w:type="dxa" w:w="1296"/>
            <w:shd w:fill="FAFAFA"/>
          </w:tcPr>
          <w:p>
            <w:pPr>
              <w:spacing w:before="40" w:after="40" w:line="252" w:lineRule="auto"/>
              <w:jc w:val="left"/>
            </w:pPr>
            <w:r>
              <w:rPr>
                <w:rFonts w:ascii="Times New Roman" w:hAnsi="Times New Roman"/>
                <w:sz w:val="18"/>
              </w:rPr>
              <w:t>Integer (Binary: 0, 1)</w:t>
            </w:r>
          </w:p>
        </w:tc>
        <w:tc>
          <w:tcPr>
            <w:tcW w:type="dxa" w:w="1584"/>
            <w:shd w:fill="FAFAFA"/>
          </w:tcPr>
          <w:p>
            <w:pPr>
              <w:spacing w:before="40" w:after="40" w:line="252" w:lineRule="auto"/>
              <w:jc w:val="left"/>
            </w:pPr>
            <w:r>
              <w:rPr>
                <w:rFonts w:ascii="Times New Roman" w:hAnsi="Times New Roman"/>
                <w:sz w:val="18"/>
              </w:rPr>
              <w:t>1 if HI &gt;= 2,350 mmBtu/hr (25.14%)</w:t>
            </w:r>
          </w:p>
        </w:tc>
        <w:tc>
          <w:tcPr>
            <w:tcW w:type="dxa" w:w="1728"/>
            <w:shd w:fill="FAFAFA"/>
          </w:tcPr>
          <w:p>
            <w:pPr>
              <w:spacing w:before="40" w:after="40" w:line="252" w:lineRule="auto"/>
              <w:jc w:val="left"/>
            </w:pPr>
            <w:r>
              <w:rPr>
                <w:rFonts w:ascii="Times New Roman" w:hAnsi="Times New Roman"/>
                <w:sz w:val="18"/>
              </w:rPr>
              <w:t>0 missing post-engineering</w:t>
            </w:r>
          </w:p>
        </w:tc>
        <w:tc>
          <w:tcPr>
            <w:tcW w:type="dxa" w:w="1872"/>
            <w:shd w:fill="FAFAFA"/>
          </w:tcPr>
          <w:p>
            <w:pPr>
              <w:spacing w:before="40" w:after="40" w:line="252" w:lineRule="auto"/>
              <w:jc w:val="left"/>
            </w:pPr>
            <w:r>
              <w:rPr>
                <w:rFonts w:ascii="Times New Roman" w:hAnsi="Times New Roman"/>
                <w:sz w:val="18"/>
              </w:rPr>
              <w:t>Supervised classification target Y for RQ2.</w:t>
            </w:r>
          </w:p>
        </w:tc>
      </w:tr>
    </w:tbl>
    <w:p>
      <w:pPr>
        <w:spacing w:before="60" w:after="240"/>
      </w:pPr>
      <w:r>
        <w:rPr>
          <w:rFonts w:ascii="Times New Roman" w:hAnsi="Times New Roman"/>
          <w:i/>
          <w:sz w:val="18"/>
        </w:rPr>
        <w:t xml:space="preserve">Note. </w:t>
      </w:r>
      <w:r>
        <w:rPr>
          <w:rFonts w:ascii="Times New Roman" w:hAnsi="Times New Roman"/>
          <w:sz w:val="18"/>
        </w:rPr>
        <w:t>Complete data dictionary of raw EPA CAMPD attributes and engineered analytical features across N = 4,050 units.</w:t>
      </w:r>
    </w:p>
    <w:p>
      <w:pPr>
        <w:keepNext/>
        <w:spacing w:before="240" w:after="120"/>
        <w:jc w:val="left"/>
      </w:pPr>
      <w:r>
        <w:rPr>
          <w:rFonts w:ascii="Times New Roman" w:hAnsi="Times New Roman"/>
          <w:b/>
          <w:color w:val="19375F"/>
          <w:sz w:val="24"/>
        </w:rPr>
        <w:t>Data Cleaning and Preprocessing Log</w:t>
      </w:r>
    </w:p>
    <w:p>
      <w:pPr>
        <w:spacing w:after="120" w:line="276" w:lineRule="auto"/>
        <w:jc w:val="left"/>
      </w:pPr>
      <w:r>
        <w:rPr>
          <w:rFonts w:ascii="Times New Roman" w:hAnsi="Times New Roman"/>
          <w:i w:val="0"/>
          <w:sz w:val="22"/>
        </w:rPr>
        <w:t>To transform raw administrative filings into an analysis-ready numerical matrix, an automated eight-stage preprocessing pipeline was implemented in Python (detailed in Appendix A). Table 3 documents each data quality issue identified, the variables affected, the programmatic detection method, the mathematical treatment applied, and the domain rationale.</w:t>
      </w:r>
    </w:p>
    <w:p>
      <w:pPr>
        <w:keepNext/>
        <w:spacing w:before="240" w:after="40"/>
      </w:pPr>
      <w:r>
        <w:rPr>
          <w:rFonts w:ascii="Times New Roman" w:hAnsi="Times New Roman"/>
          <w:b/>
          <w:sz w:val="22"/>
        </w:rPr>
        <w:t>Table 3</w:t>
      </w:r>
    </w:p>
    <w:p>
      <w:pPr>
        <w:keepNext/>
        <w:spacing w:before="0" w:after="120"/>
      </w:pPr>
      <w:r>
        <w:rPr>
          <w:rFonts w:ascii="Times New Roman" w:hAnsi="Times New Roman"/>
          <w:i/>
          <w:sz w:val="22"/>
        </w:rPr>
        <w:t>Data Cleaning and Preprocessing Log</w:t>
      </w:r>
    </w:p>
    <w:tbl>
      <w:tblPr>
        <w:tblW w:type="auto" w:w="0"/>
        <w:tblLook w:firstColumn="1" w:firstRow="1" w:lastColumn="0" w:lastRow="0" w:noHBand="0" w:noVBand="1" w:val="04A0"/>
        <w:jc w:val="center"/>
        <w:tblBorders>
          <w:top w:val="single" w:sz="12" w:space="0" w:color="000000"/>
          <w:bottom w:val="single" w:sz="12" w:space="0" w:color="000000"/>
          <w:insideH w:val="single" w:sz="4" w:space="0" w:color="E5E5E5"/>
          <w:insideV w:val="none"/>
          <w:left w:val="none"/>
          <w:right w:val="none"/>
        </w:tblBorders>
      </w:tblPr>
      <w:tblGrid>
        <w:gridCol w:w="1872"/>
        <w:gridCol w:w="1872"/>
        <w:gridCol w:w="1872"/>
        <w:gridCol w:w="1872"/>
        <w:gridCol w:w="1872"/>
      </w:tblGrid>
      <w:tr>
        <w:trPr>
          <w:tblHeader/>
        </w:trPr>
        <w:tc>
          <w:tcPr>
            <w:tcW w:type="dxa" w:w="1872"/>
            <w:tcBorders>
              <w:bottom w:val="single" w:sz="12" w:space="0" w:color="000000"/>
            </w:tcBorders>
            <w:shd w:fill="F4F6F8"/>
          </w:tcPr>
          <w:p>
            <w:pPr>
              <w:spacing w:before="60" w:after="60" w:line="240" w:lineRule="auto"/>
              <w:jc w:val="center"/>
            </w:pPr>
            <w:r>
              <w:rPr>
                <w:rFonts w:ascii="Times New Roman" w:hAnsi="Times New Roman"/>
                <w:b/>
                <w:sz w:val="19"/>
              </w:rPr>
              <w:t>Issue Identified</w:t>
            </w:r>
          </w:p>
        </w:tc>
        <w:tc>
          <w:tcPr>
            <w:tcW w:type="dxa" w:w="2016"/>
            <w:tcBorders>
              <w:bottom w:val="single" w:sz="12" w:space="0" w:color="000000"/>
            </w:tcBorders>
            <w:shd w:fill="F4F6F8"/>
          </w:tcPr>
          <w:p>
            <w:pPr>
              <w:spacing w:before="60" w:after="60" w:line="240" w:lineRule="auto"/>
              <w:jc w:val="center"/>
            </w:pPr>
            <w:r>
              <w:rPr>
                <w:rFonts w:ascii="Times New Roman" w:hAnsi="Times New Roman"/>
                <w:b/>
                <w:sz w:val="19"/>
              </w:rPr>
              <w:t>Variables Affected</w:t>
            </w:r>
          </w:p>
        </w:tc>
        <w:tc>
          <w:tcPr>
            <w:tcW w:type="dxa" w:w="1728"/>
            <w:tcBorders>
              <w:bottom w:val="single" w:sz="12" w:space="0" w:color="000000"/>
            </w:tcBorders>
            <w:shd w:fill="F4F6F8"/>
          </w:tcPr>
          <w:p>
            <w:pPr>
              <w:spacing w:before="60" w:after="60" w:line="240" w:lineRule="auto"/>
              <w:jc w:val="center"/>
            </w:pPr>
            <w:r>
              <w:rPr>
                <w:rFonts w:ascii="Times New Roman" w:hAnsi="Times New Roman"/>
                <w:b/>
                <w:sz w:val="19"/>
              </w:rPr>
              <w:t>Detection Method</w:t>
            </w:r>
          </w:p>
        </w:tc>
        <w:tc>
          <w:tcPr>
            <w:tcW w:type="dxa" w:w="2016"/>
            <w:tcBorders>
              <w:bottom w:val="single" w:sz="12" w:space="0" w:color="000000"/>
            </w:tcBorders>
            <w:shd w:fill="F4F6F8"/>
          </w:tcPr>
          <w:p>
            <w:pPr>
              <w:spacing w:before="60" w:after="60" w:line="240" w:lineRule="auto"/>
              <w:jc w:val="center"/>
            </w:pPr>
            <w:r>
              <w:rPr>
                <w:rFonts w:ascii="Times New Roman" w:hAnsi="Times New Roman"/>
                <w:b/>
                <w:sz w:val="19"/>
              </w:rPr>
              <w:t>Treatment Applied</w:t>
            </w:r>
          </w:p>
        </w:tc>
        <w:tc>
          <w:tcPr>
            <w:tcW w:type="dxa" w:w="2448"/>
            <w:tcBorders>
              <w:bottom w:val="single" w:sz="12" w:space="0" w:color="000000"/>
            </w:tcBorders>
            <w:shd w:fill="F4F6F8"/>
          </w:tcPr>
          <w:p>
            <w:pPr>
              <w:spacing w:before="60" w:after="60" w:line="240" w:lineRule="auto"/>
              <w:jc w:val="center"/>
            </w:pPr>
            <w:r>
              <w:rPr>
                <w:rFonts w:ascii="Times New Roman" w:hAnsi="Times New Roman"/>
                <w:b/>
                <w:sz w:val="19"/>
              </w:rPr>
              <w:t>Domain &amp; Statistical Rationale</w:t>
            </w:r>
          </w:p>
        </w:tc>
      </w:tr>
      <w:tr>
        <w:tc>
          <w:tcPr>
            <w:tcW w:type="dxa" w:w="1872"/>
          </w:tcPr>
          <w:p>
            <w:pPr>
              <w:spacing w:before="40" w:after="40" w:line="252" w:lineRule="auto"/>
              <w:jc w:val="left"/>
            </w:pPr>
            <w:r>
              <w:rPr>
                <w:rFonts w:ascii="Times New Roman" w:hAnsi="Times New Roman"/>
                <w:sz w:val="18"/>
              </w:rPr>
              <w:t>Duplicate Key Audit</w:t>
            </w:r>
          </w:p>
        </w:tc>
        <w:tc>
          <w:tcPr>
            <w:tcW w:type="dxa" w:w="2016"/>
          </w:tcPr>
          <w:p>
            <w:pPr>
              <w:spacing w:before="40" w:after="40" w:line="252" w:lineRule="auto"/>
              <w:jc w:val="left"/>
            </w:pPr>
            <w:r>
              <w:rPr>
                <w:rFonts w:ascii="Times New Roman" w:hAnsi="Times New Roman"/>
                <w:sz w:val="18"/>
              </w:rPr>
              <w:t>Facility ID + Unit ID</w:t>
            </w:r>
          </w:p>
        </w:tc>
        <w:tc>
          <w:tcPr>
            <w:tcW w:type="dxa" w:w="1728"/>
          </w:tcPr>
          <w:p>
            <w:pPr>
              <w:spacing w:before="40" w:after="40" w:line="252" w:lineRule="auto"/>
              <w:jc w:val="left"/>
            </w:pPr>
            <w:r>
              <w:rPr>
                <w:rFonts w:ascii="Times New Roman" w:hAnsi="Times New Roman"/>
                <w:sz w:val="18"/>
              </w:rPr>
              <w:t>Pandas duplicated() composite check</w:t>
            </w:r>
          </w:p>
        </w:tc>
        <w:tc>
          <w:tcPr>
            <w:tcW w:type="dxa" w:w="2016"/>
          </w:tcPr>
          <w:p>
            <w:pPr>
              <w:spacing w:before="40" w:after="40" w:line="252" w:lineRule="auto"/>
              <w:jc w:val="left"/>
            </w:pPr>
            <w:r>
              <w:rPr>
                <w:rFonts w:ascii="Times New Roman" w:hAnsi="Times New Roman"/>
                <w:sz w:val="18"/>
              </w:rPr>
              <w:t>Verified 0 duplicate unit keys across all 4,050 rows</w:t>
            </w:r>
          </w:p>
        </w:tc>
        <w:tc>
          <w:tcPr>
            <w:tcW w:type="dxa" w:w="2448"/>
          </w:tcPr>
          <w:p>
            <w:pPr>
              <w:spacing w:before="40" w:after="40" w:line="252" w:lineRule="auto"/>
              <w:jc w:val="left"/>
            </w:pPr>
            <w:r>
              <w:rPr>
                <w:rFonts w:ascii="Times New Roman" w:hAnsi="Times New Roman"/>
                <w:sz w:val="18"/>
              </w:rPr>
              <w:t>Guarantees independent observations and prevents variance deflation.</w:t>
            </w:r>
          </w:p>
        </w:tc>
      </w:tr>
      <w:tr>
        <w:tc>
          <w:tcPr>
            <w:tcW w:type="dxa" w:w="1872"/>
            <w:shd w:fill="FAFAFA"/>
          </w:tcPr>
          <w:p>
            <w:pPr>
              <w:spacing w:before="40" w:after="40" w:line="252" w:lineRule="auto"/>
              <w:jc w:val="left"/>
            </w:pPr>
            <w:r>
              <w:rPr>
                <w:rFonts w:ascii="Times New Roman" w:hAnsi="Times New Roman"/>
                <w:sz w:val="18"/>
              </w:rPr>
              <w:t>Unstandardized Capacity Text</w:t>
            </w:r>
          </w:p>
        </w:tc>
        <w:tc>
          <w:tcPr>
            <w:tcW w:type="dxa" w:w="2016"/>
            <w:shd w:fill="FAFAFA"/>
          </w:tcPr>
          <w:p>
            <w:pPr>
              <w:spacing w:before="40" w:after="40" w:line="252" w:lineRule="auto"/>
              <w:jc w:val="left"/>
            </w:pPr>
            <w:r>
              <w:rPr>
                <w:rFonts w:ascii="Times New Roman" w:hAnsi="Times New Roman"/>
                <w:sz w:val="18"/>
              </w:rPr>
              <w:t>Associated Generators &amp; Nameplate Capacity (MWe)</w:t>
            </w:r>
          </w:p>
        </w:tc>
        <w:tc>
          <w:tcPr>
            <w:tcW w:type="dxa" w:w="1728"/>
            <w:shd w:fill="FAFAFA"/>
          </w:tcPr>
          <w:p>
            <w:pPr>
              <w:spacing w:before="40" w:after="40" w:line="252" w:lineRule="auto"/>
              <w:jc w:val="left"/>
            </w:pPr>
            <w:r>
              <w:rPr>
                <w:rFonts w:ascii="Times New Roman" w:hAnsi="Times New Roman"/>
                <w:sz w:val="18"/>
              </w:rPr>
              <w:t>Regex pattern r'\(([\d\.]+)\)'</w:t>
            </w:r>
          </w:p>
        </w:tc>
        <w:tc>
          <w:tcPr>
            <w:tcW w:type="dxa" w:w="2016"/>
            <w:shd w:fill="FAFAFA"/>
          </w:tcPr>
          <w:p>
            <w:pPr>
              <w:spacing w:before="40" w:after="40" w:line="252" w:lineRule="auto"/>
              <w:jc w:val="left"/>
            </w:pPr>
            <w:r>
              <w:rPr>
                <w:rFonts w:ascii="Times New Roman" w:hAnsi="Times New Roman"/>
                <w:sz w:val="18"/>
              </w:rPr>
              <w:t>Extracted numeric MWe per generator and summed multi-generator strings</w:t>
            </w:r>
          </w:p>
        </w:tc>
        <w:tc>
          <w:tcPr>
            <w:tcW w:type="dxa" w:w="2448"/>
            <w:shd w:fill="FAFAFA"/>
          </w:tcPr>
          <w:p>
            <w:pPr>
              <w:spacing w:before="40" w:after="40" w:line="252" w:lineRule="auto"/>
              <w:jc w:val="left"/>
            </w:pPr>
            <w:r>
              <w:rPr>
                <w:rFonts w:ascii="Times New Roman" w:hAnsi="Times New Roman"/>
                <w:sz w:val="18"/>
              </w:rPr>
              <w:t>Converts alphanumeric regulatory text into continuous Capacity_MW.</w:t>
            </w:r>
          </w:p>
        </w:tc>
      </w:tr>
      <w:tr>
        <w:tc>
          <w:tcPr>
            <w:tcW w:type="dxa" w:w="1872"/>
          </w:tcPr>
          <w:p>
            <w:pPr>
              <w:spacing w:before="40" w:after="40" w:line="252" w:lineRule="auto"/>
              <w:jc w:val="left"/>
            </w:pPr>
            <w:r>
              <w:rPr>
                <w:rFonts w:ascii="Times New Roman" w:hAnsi="Times New Roman"/>
                <w:sz w:val="18"/>
              </w:rPr>
              <w:t>Missing Nameplate Capacity</w:t>
            </w:r>
          </w:p>
        </w:tc>
        <w:tc>
          <w:tcPr>
            <w:tcW w:type="dxa" w:w="2016"/>
          </w:tcPr>
          <w:p>
            <w:pPr>
              <w:spacing w:before="40" w:after="40" w:line="252" w:lineRule="auto"/>
              <w:jc w:val="left"/>
            </w:pPr>
            <w:r>
              <w:rPr>
                <w:rFonts w:ascii="Times New Roman" w:hAnsi="Times New Roman"/>
                <w:sz w:val="18"/>
              </w:rPr>
              <w:t>Capacity_MW</w:t>
            </w:r>
          </w:p>
        </w:tc>
        <w:tc>
          <w:tcPr>
            <w:tcW w:type="dxa" w:w="1728"/>
          </w:tcPr>
          <w:p>
            <w:pPr>
              <w:spacing w:before="40" w:after="40" w:line="252" w:lineRule="auto"/>
              <w:jc w:val="left"/>
            </w:pPr>
            <w:r>
              <w:rPr>
                <w:rFonts w:ascii="Times New Roman" w:hAnsi="Times New Roman"/>
                <w:sz w:val="18"/>
              </w:rPr>
              <w:t>isna().sum() detected 150 missing rows (3.70%)</w:t>
            </w:r>
          </w:p>
        </w:tc>
        <w:tc>
          <w:tcPr>
            <w:tcW w:type="dxa" w:w="2016"/>
          </w:tcPr>
          <w:p>
            <w:pPr>
              <w:spacing w:before="40" w:after="40" w:line="252" w:lineRule="auto"/>
              <w:jc w:val="left"/>
            </w:pPr>
            <w:r>
              <w:rPr>
                <w:rFonts w:ascii="Times New Roman" w:hAnsi="Times New Roman"/>
                <w:sz w:val="18"/>
              </w:rPr>
              <w:t>Imputed using median Capacity_MW grouped by Unit_Type_Category</w:t>
            </w:r>
          </w:p>
        </w:tc>
        <w:tc>
          <w:tcPr>
            <w:tcW w:type="dxa" w:w="2448"/>
          </w:tcPr>
          <w:p>
            <w:pPr>
              <w:spacing w:before="40" w:after="40" w:line="252" w:lineRule="auto"/>
              <w:jc w:val="left"/>
            </w:pPr>
            <w:r>
              <w:rPr>
                <w:rFonts w:ascii="Times New Roman" w:hAnsi="Times New Roman"/>
                <w:sz w:val="18"/>
              </w:rPr>
              <w:t>Preserves all 4,050 records while respecting technology scale differences.</w:t>
            </w:r>
          </w:p>
        </w:tc>
      </w:tr>
      <w:tr>
        <w:tc>
          <w:tcPr>
            <w:tcW w:type="dxa" w:w="1872"/>
            <w:shd w:fill="FAFAFA"/>
          </w:tcPr>
          <w:p>
            <w:pPr>
              <w:spacing w:before="40" w:after="40" w:line="252" w:lineRule="auto"/>
              <w:jc w:val="left"/>
            </w:pPr>
            <w:r>
              <w:rPr>
                <w:rFonts w:ascii="Times New Roman" w:hAnsi="Times New Roman"/>
                <w:sz w:val="18"/>
              </w:rPr>
              <w:t>Date String Parsing</w:t>
            </w:r>
          </w:p>
        </w:tc>
        <w:tc>
          <w:tcPr>
            <w:tcW w:type="dxa" w:w="2016"/>
            <w:shd w:fill="FAFAFA"/>
          </w:tcPr>
          <w:p>
            <w:pPr>
              <w:spacing w:before="40" w:after="40" w:line="252" w:lineRule="auto"/>
              <w:jc w:val="left"/>
            </w:pPr>
            <w:r>
              <w:rPr>
                <w:rFonts w:ascii="Times New Roman" w:hAnsi="Times New Roman"/>
                <w:sz w:val="18"/>
              </w:rPr>
              <w:t>Commercial Operation Date</w:t>
            </w:r>
          </w:p>
        </w:tc>
        <w:tc>
          <w:tcPr>
            <w:tcW w:type="dxa" w:w="1728"/>
            <w:shd w:fill="FAFAFA"/>
          </w:tcPr>
          <w:p>
            <w:pPr>
              <w:spacing w:before="40" w:after="40" w:line="252" w:lineRule="auto"/>
              <w:jc w:val="left"/>
            </w:pPr>
            <w:r>
              <w:rPr>
                <w:rFonts w:ascii="Times New Roman" w:hAnsi="Times New Roman"/>
                <w:sz w:val="18"/>
              </w:rPr>
              <w:t>pd.to_datetime(errors='coerce') audit</w:t>
            </w:r>
          </w:p>
        </w:tc>
        <w:tc>
          <w:tcPr>
            <w:tcW w:type="dxa" w:w="2016"/>
            <w:shd w:fill="FAFAFA"/>
          </w:tcPr>
          <w:p>
            <w:pPr>
              <w:spacing w:before="40" w:after="40" w:line="252" w:lineRule="auto"/>
              <w:jc w:val="left"/>
            </w:pPr>
            <w:r>
              <w:rPr>
                <w:rFonts w:ascii="Times New Roman" w:hAnsi="Times New Roman"/>
                <w:sz w:val="18"/>
              </w:rPr>
              <w:t>Extracted year; imputed 36 missing (0.89%) via unit-type median year</w:t>
            </w:r>
          </w:p>
        </w:tc>
        <w:tc>
          <w:tcPr>
            <w:tcW w:type="dxa" w:w="2448"/>
            <w:shd w:fill="FAFAFA"/>
          </w:tcPr>
          <w:p>
            <w:pPr>
              <w:spacing w:before="40" w:after="40" w:line="252" w:lineRule="auto"/>
              <w:jc w:val="left"/>
            </w:pPr>
            <w:r>
              <w:rPr>
                <w:rFonts w:ascii="Times New Roman" w:hAnsi="Times New Roman"/>
                <w:sz w:val="18"/>
              </w:rPr>
              <w:t>Enables exact computation of continuous operating vintage (Unit_Age).</w:t>
            </w:r>
          </w:p>
        </w:tc>
      </w:tr>
      <w:tr>
        <w:tc>
          <w:tcPr>
            <w:tcW w:type="dxa" w:w="1872"/>
          </w:tcPr>
          <w:p>
            <w:pPr>
              <w:spacing w:before="40" w:after="40" w:line="252" w:lineRule="auto"/>
              <w:jc w:val="left"/>
            </w:pPr>
            <w:r>
              <w:rPr>
                <w:rFonts w:ascii="Times New Roman" w:hAnsi="Times New Roman"/>
                <w:sz w:val="18"/>
              </w:rPr>
              <w:t>Missing Heat Input Rate</w:t>
            </w:r>
          </w:p>
        </w:tc>
        <w:tc>
          <w:tcPr>
            <w:tcW w:type="dxa" w:w="2016"/>
          </w:tcPr>
          <w:p>
            <w:pPr>
              <w:spacing w:before="40" w:after="40" w:line="252" w:lineRule="auto"/>
              <w:jc w:val="left"/>
            </w:pPr>
            <w:r>
              <w:rPr>
                <w:rFonts w:ascii="Times New Roman" w:hAnsi="Times New Roman"/>
                <w:sz w:val="18"/>
              </w:rPr>
              <w:t>Max Hourly HI Rate (mmBtu/hr)</w:t>
            </w:r>
          </w:p>
        </w:tc>
        <w:tc>
          <w:tcPr>
            <w:tcW w:type="dxa" w:w="1728"/>
          </w:tcPr>
          <w:p>
            <w:pPr>
              <w:spacing w:before="40" w:after="40" w:line="252" w:lineRule="auto"/>
              <w:jc w:val="left"/>
            </w:pPr>
            <w:r>
              <w:rPr>
                <w:rFonts w:ascii="Times New Roman" w:hAnsi="Times New Roman"/>
                <w:sz w:val="18"/>
              </w:rPr>
              <w:t>isna().sum() detected 44 missing rows (1.09%)</w:t>
            </w:r>
          </w:p>
        </w:tc>
        <w:tc>
          <w:tcPr>
            <w:tcW w:type="dxa" w:w="2016"/>
          </w:tcPr>
          <w:p>
            <w:pPr>
              <w:spacing w:before="40" w:after="40" w:line="252" w:lineRule="auto"/>
              <w:jc w:val="left"/>
            </w:pPr>
            <w:r>
              <w:rPr>
                <w:rFonts w:ascii="Times New Roman" w:hAnsi="Times New Roman"/>
                <w:sz w:val="18"/>
              </w:rPr>
              <w:t>Imputed via Capacity_MW × median thermal heat rate ratio (9.5 mmBtu/MWe)</w:t>
            </w:r>
          </w:p>
        </w:tc>
        <w:tc>
          <w:tcPr>
            <w:tcW w:type="dxa" w:w="2448"/>
          </w:tcPr>
          <w:p>
            <w:pPr>
              <w:spacing w:before="40" w:after="40" w:line="252" w:lineRule="auto"/>
              <w:jc w:val="left"/>
            </w:pPr>
            <w:r>
              <w:rPr>
                <w:rFonts w:ascii="Times New Roman" w:hAnsi="Times New Roman"/>
                <w:sz w:val="18"/>
              </w:rPr>
              <w:t>Maintains physical thermodynamic consistency between MWe and heat input.</w:t>
            </w:r>
          </w:p>
        </w:tc>
      </w:tr>
      <w:tr>
        <w:tc>
          <w:tcPr>
            <w:tcW w:type="dxa" w:w="1872"/>
            <w:shd w:fill="FAFAFA"/>
          </w:tcPr>
          <w:p>
            <w:pPr>
              <w:spacing w:before="40" w:after="40" w:line="252" w:lineRule="auto"/>
              <w:jc w:val="left"/>
            </w:pPr>
            <w:r>
              <w:rPr>
                <w:rFonts w:ascii="Times New Roman" w:hAnsi="Times New Roman"/>
                <w:sz w:val="18"/>
              </w:rPr>
              <w:t>Implicit Null Controls</w:t>
            </w:r>
          </w:p>
        </w:tc>
        <w:tc>
          <w:tcPr>
            <w:tcW w:type="dxa" w:w="2016"/>
            <w:shd w:fill="FAFAFA"/>
          </w:tcPr>
          <w:p>
            <w:pPr>
              <w:spacing w:before="40" w:after="40" w:line="252" w:lineRule="auto"/>
              <w:jc w:val="left"/>
            </w:pPr>
            <w:r>
              <w:rPr>
                <w:rFonts w:ascii="Times New Roman" w:hAnsi="Times New Roman"/>
                <w:sz w:val="18"/>
              </w:rPr>
              <w:t>SO2, NOx, PM, Hg Controls</w:t>
            </w:r>
          </w:p>
        </w:tc>
        <w:tc>
          <w:tcPr>
            <w:tcW w:type="dxa" w:w="1728"/>
            <w:shd w:fill="FAFAFA"/>
          </w:tcPr>
          <w:p>
            <w:pPr>
              <w:spacing w:before="40" w:after="40" w:line="252" w:lineRule="auto"/>
              <w:jc w:val="left"/>
            </w:pPr>
            <w:r>
              <w:rPr>
                <w:rFonts w:ascii="Times New Roman" w:hAnsi="Times New Roman"/>
                <w:sz w:val="18"/>
              </w:rPr>
              <w:t>Null/blank string audit (596 to 3,877 blanks)</w:t>
            </w:r>
          </w:p>
        </w:tc>
        <w:tc>
          <w:tcPr>
            <w:tcW w:type="dxa" w:w="2016"/>
            <w:shd w:fill="FAFAFA"/>
          </w:tcPr>
          <w:p>
            <w:pPr>
              <w:spacing w:before="40" w:after="40" w:line="252" w:lineRule="auto"/>
              <w:jc w:val="left"/>
            </w:pPr>
            <w:r>
              <w:rPr>
                <w:rFonts w:ascii="Times New Roman" w:hAnsi="Times New Roman"/>
                <w:sz w:val="18"/>
              </w:rPr>
              <w:t>Encoded non-null as 1 (Controlled) and blank as 0 (Uncontrolled)</w:t>
            </w:r>
          </w:p>
        </w:tc>
        <w:tc>
          <w:tcPr>
            <w:tcW w:type="dxa" w:w="2448"/>
            <w:shd w:fill="FAFAFA"/>
          </w:tcPr>
          <w:p>
            <w:pPr>
              <w:spacing w:before="40" w:after="40" w:line="252" w:lineRule="auto"/>
              <w:jc w:val="left"/>
            </w:pPr>
            <w:r>
              <w:rPr>
                <w:rFonts w:ascii="Times New Roman" w:hAnsi="Times New Roman"/>
                <w:sz w:val="18"/>
              </w:rPr>
              <w:t>In CAMPD reporting, blank control fields signify no abatement hardware installed.</w:t>
            </w:r>
          </w:p>
        </w:tc>
      </w:tr>
      <w:tr>
        <w:tc>
          <w:tcPr>
            <w:tcW w:type="dxa" w:w="1872"/>
          </w:tcPr>
          <w:p>
            <w:pPr>
              <w:spacing w:before="40" w:after="40" w:line="252" w:lineRule="auto"/>
              <w:jc w:val="left"/>
            </w:pPr>
            <w:r>
              <w:rPr>
                <w:rFonts w:ascii="Times New Roman" w:hAnsi="Times New Roman"/>
                <w:sz w:val="18"/>
              </w:rPr>
              <w:t>Sparse Fuel Categories</w:t>
            </w:r>
          </w:p>
        </w:tc>
        <w:tc>
          <w:tcPr>
            <w:tcW w:type="dxa" w:w="2016"/>
          </w:tcPr>
          <w:p>
            <w:pPr>
              <w:spacing w:before="40" w:after="40" w:line="252" w:lineRule="auto"/>
              <w:jc w:val="left"/>
            </w:pPr>
            <w:r>
              <w:rPr>
                <w:rFonts w:ascii="Times New Roman" w:hAnsi="Times New Roman"/>
                <w:sz w:val="18"/>
              </w:rPr>
              <w:t>Primary Fuel Type (12 raw codes)</w:t>
            </w:r>
          </w:p>
        </w:tc>
        <w:tc>
          <w:tcPr>
            <w:tcW w:type="dxa" w:w="1728"/>
          </w:tcPr>
          <w:p>
            <w:pPr>
              <w:spacing w:before="40" w:after="40" w:line="252" w:lineRule="auto"/>
              <w:jc w:val="left"/>
            </w:pPr>
            <w:r>
              <w:rPr>
                <w:rFonts w:ascii="Times New Roman" w:hAnsi="Times New Roman"/>
                <w:sz w:val="18"/>
              </w:rPr>
              <w:t>Frequency distribution value_counts() check</w:t>
            </w:r>
          </w:p>
        </w:tc>
        <w:tc>
          <w:tcPr>
            <w:tcW w:type="dxa" w:w="2016"/>
          </w:tcPr>
          <w:p>
            <w:pPr>
              <w:spacing w:before="40" w:after="40" w:line="252" w:lineRule="auto"/>
              <w:jc w:val="left"/>
            </w:pPr>
            <w:r>
              <w:rPr>
                <w:rFonts w:ascii="Times New Roman" w:hAnsi="Times New Roman"/>
                <w:sz w:val="18"/>
              </w:rPr>
              <w:t>Consolidated into 5 groups: Natural Gas, Coal, Oil/Diesel, Biomass, Other</w:t>
            </w:r>
          </w:p>
        </w:tc>
        <w:tc>
          <w:tcPr>
            <w:tcW w:type="dxa" w:w="2448"/>
          </w:tcPr>
          <w:p>
            <w:pPr>
              <w:spacing w:before="40" w:after="40" w:line="252" w:lineRule="auto"/>
              <w:jc w:val="left"/>
            </w:pPr>
            <w:r>
              <w:rPr>
                <w:rFonts w:ascii="Times New Roman" w:hAnsi="Times New Roman"/>
                <w:sz w:val="18"/>
              </w:rPr>
              <w:t>Ensures adequate cell counts for ANOVA and prevents dummy-variable sparsity.</w:t>
            </w:r>
          </w:p>
        </w:tc>
      </w:tr>
      <w:tr>
        <w:tc>
          <w:tcPr>
            <w:tcW w:type="dxa" w:w="1872"/>
            <w:shd w:fill="FAFAFA"/>
          </w:tcPr>
          <w:p>
            <w:pPr>
              <w:spacing w:before="40" w:after="40" w:line="252" w:lineRule="auto"/>
              <w:jc w:val="left"/>
            </w:pPr>
            <w:r>
              <w:rPr>
                <w:rFonts w:ascii="Times New Roman" w:hAnsi="Times New Roman"/>
                <w:sz w:val="18"/>
              </w:rPr>
              <w:t>Sparse Boiler Technologies</w:t>
            </w:r>
          </w:p>
        </w:tc>
        <w:tc>
          <w:tcPr>
            <w:tcW w:type="dxa" w:w="2016"/>
            <w:shd w:fill="FAFAFA"/>
          </w:tcPr>
          <w:p>
            <w:pPr>
              <w:spacing w:before="40" w:after="40" w:line="252" w:lineRule="auto"/>
              <w:jc w:val="left"/>
            </w:pPr>
            <w:r>
              <w:rPr>
                <w:rFonts w:ascii="Times New Roman" w:hAnsi="Times New Roman"/>
                <w:sz w:val="18"/>
              </w:rPr>
              <w:t>Unit Type (33 raw codes)</w:t>
            </w:r>
          </w:p>
        </w:tc>
        <w:tc>
          <w:tcPr>
            <w:tcW w:type="dxa" w:w="1728"/>
            <w:shd w:fill="FAFAFA"/>
          </w:tcPr>
          <w:p>
            <w:pPr>
              <w:spacing w:before="40" w:after="40" w:line="252" w:lineRule="auto"/>
              <w:jc w:val="left"/>
            </w:pPr>
            <w:r>
              <w:rPr>
                <w:rFonts w:ascii="Times New Roman" w:hAnsi="Times New Roman"/>
                <w:sz w:val="18"/>
              </w:rPr>
              <w:t>Frequency distribution value_counts() check</w:t>
            </w:r>
          </w:p>
        </w:tc>
        <w:tc>
          <w:tcPr>
            <w:tcW w:type="dxa" w:w="2016"/>
            <w:shd w:fill="FAFAFA"/>
          </w:tcPr>
          <w:p>
            <w:pPr>
              <w:spacing w:before="40" w:after="40" w:line="252" w:lineRule="auto"/>
              <w:jc w:val="left"/>
            </w:pPr>
            <w:r>
              <w:rPr>
                <w:rFonts w:ascii="Times New Roman" w:hAnsi="Times New Roman"/>
                <w:sz w:val="18"/>
              </w:rPr>
              <w:t>Consolidated into 5 classes: Combustion Turbine, Combined Cycle, Wall-Fired, Tangential, Other</w:t>
            </w:r>
          </w:p>
        </w:tc>
        <w:tc>
          <w:tcPr>
            <w:tcW w:type="dxa" w:w="2448"/>
            <w:shd w:fill="FAFAFA"/>
          </w:tcPr>
          <w:p>
            <w:pPr>
              <w:spacing w:before="40" w:after="40" w:line="252" w:lineRule="auto"/>
              <w:jc w:val="left"/>
            </w:pPr>
            <w:r>
              <w:rPr>
                <w:rFonts w:ascii="Times New Roman" w:hAnsi="Times New Roman"/>
                <w:sz w:val="18"/>
              </w:rPr>
              <w:t>Prevents high-dimensional overfitting and collinearity in supervised ML models.</w:t>
            </w:r>
          </w:p>
        </w:tc>
      </w:tr>
    </w:tbl>
    <w:p>
      <w:pPr>
        <w:spacing w:before="60" w:after="240"/>
      </w:pPr>
      <w:r>
        <w:rPr>
          <w:rFonts w:ascii="Times New Roman" w:hAnsi="Times New Roman"/>
          <w:i/>
          <w:sz w:val="18"/>
        </w:rPr>
        <w:t xml:space="preserve">Note. </w:t>
      </w:r>
      <w:r>
        <w:rPr>
          <w:rFonts w:ascii="Times New Roman" w:hAnsi="Times New Roman"/>
          <w:sz w:val="18"/>
        </w:rPr>
        <w:t>Audit log of data cleaning, regular expression parsing, and zero-loss median imputation treatments applied to facility-2025.csv.</w:t>
      </w:r>
    </w:p>
    <w:p>
      <w:pPr>
        <w:keepNext/>
        <w:spacing w:before="240" w:after="120"/>
        <w:jc w:val="left"/>
      </w:pPr>
      <w:r>
        <w:rPr>
          <w:rFonts w:ascii="Times New Roman" w:hAnsi="Times New Roman"/>
          <w:b/>
          <w:color w:val="19375F"/>
          <w:sz w:val="24"/>
        </w:rPr>
        <w:t>Exploratory Data Analysis (EDA)</w:t>
      </w:r>
    </w:p>
    <w:p>
      <w:pPr>
        <w:spacing w:after="120" w:line="276" w:lineRule="auto"/>
        <w:jc w:val="left"/>
      </w:pPr>
      <w:r>
        <w:rPr>
          <w:rFonts w:ascii="Times New Roman" w:hAnsi="Times New Roman"/>
          <w:i w:val="0"/>
          <w:sz w:val="22"/>
        </w:rPr>
        <w:t>Comprehensive Exploratory Data Analysis (EDA) was conducted prior to formal modeling to characterize variable distributions, detect skewness and outliers, and verify bivariate relationships across the 4,050 generating units. Across the national fleet, maximum hourly heat input rate averages 1,869.6 mmBtu/hr (SD = 1,973.6 mmBtu/hr), with a median of 1,200.0 mmBtu/hr, confirming pronounced positive skewness driven by large baseload steam plants. Installed electrical capacity averages 230.6 MWe (Median = 130.0 MWe; SD = 221.1 MWe), while operating vintage (Unit_Age) spans from 0 to 95 years with a mean of 30.6 years (Median = 24.0 years). Figures 1 through 4 illustrate the primary structural patterns uncovered during EDA, and Table 4 synthesizes these exploratory insights.</w:t>
      </w:r>
    </w:p>
    <w:p>
      <w:pPr>
        <w:keepNext/>
        <w:spacing w:before="240" w:after="40"/>
      </w:pPr>
      <w:r>
        <w:rPr>
          <w:rFonts w:ascii="Times New Roman" w:hAnsi="Times New Roman"/>
          <w:b/>
          <w:sz w:val="22"/>
        </w:rPr>
        <w:t>Figure 1</w:t>
      </w:r>
    </w:p>
    <w:p>
      <w:pPr>
        <w:keepNext/>
        <w:spacing w:before="0" w:after="120"/>
      </w:pPr>
      <w:r>
        <w:rPr>
          <w:rFonts w:ascii="Times New Roman" w:hAnsi="Times New Roman"/>
          <w:i/>
          <w:sz w:val="22"/>
        </w:rPr>
        <w:t>Maximum Hourly Heat Input Rate by Primary Fuel Category</w:t>
      </w:r>
    </w:p>
    <w:p>
      <w:pPr>
        <w:keepNext/>
        <w:spacing w:after="80"/>
        <w:jc w:val="center"/>
      </w:pPr>
      <w:r>
        <w:drawing>
          <wp:inline xmlns:a="http://schemas.openxmlformats.org/drawingml/2006/main" xmlns:pic="http://schemas.openxmlformats.org/drawingml/2006/picture">
            <wp:extent cx="5486400" cy="3352800"/>
            <wp:docPr id="1" name="Picture 1"/>
            <wp:cNvGraphicFramePr>
              <a:graphicFrameLocks noChangeAspect="1"/>
            </wp:cNvGraphicFramePr>
            <a:graphic>
              <a:graphicData uri="http://schemas.openxmlformats.org/drawingml/2006/picture">
                <pic:pic>
                  <pic:nvPicPr>
                    <pic:cNvPr id="0" name="figure1_fuel_emission_boxplot.png"/>
                    <pic:cNvPicPr/>
                  </pic:nvPicPr>
                  <pic:blipFill>
                    <a:blip r:embed="rId11"/>
                    <a:stretch>
                      <a:fillRect/>
                    </a:stretch>
                  </pic:blipFill>
                  <pic:spPr>
                    <a:xfrm>
                      <a:off x="0" y="0"/>
                      <a:ext cx="5486400" cy="3352800"/>
                    </a:xfrm>
                    <a:prstGeom prst="rect"/>
                  </pic:spPr>
                </pic:pic>
              </a:graphicData>
            </a:graphic>
          </wp:inline>
        </w:drawing>
      </w:r>
    </w:p>
    <w:p>
      <w:pPr>
        <w:spacing w:before="40" w:after="240"/>
      </w:pPr>
      <w:r>
        <w:rPr>
          <w:rFonts w:ascii="Times New Roman" w:hAnsi="Times New Roman"/>
          <w:i/>
          <w:sz w:val="19"/>
        </w:rPr>
        <w:t xml:space="preserve">Note. </w:t>
      </w:r>
      <w:r>
        <w:rPr>
          <w:rFonts w:ascii="Times New Roman" w:hAnsi="Times New Roman"/>
          <w:sz w:val="19"/>
        </w:rPr>
        <w:t>Boxplots depict median (center line), interquartile range (25th–75th percentile box), 1.5×IQR whiskers, and individual outliers. White circles denote parametric group means. One-Way ANOVA F = 542.36 (p &lt; 0.001, η² = 0.349); Kruskal-Wallis H = 783.02 (p &lt; 0.001).</w:t>
      </w:r>
    </w:p>
    <w:p>
      <w:pPr>
        <w:spacing w:after="120" w:line="276" w:lineRule="auto"/>
        <w:jc w:val="left"/>
      </w:pPr>
      <w:r>
        <w:rPr>
          <w:rFonts w:ascii="Times New Roman" w:hAnsi="Times New Roman"/>
          <w:i w:val="0"/>
          <w:sz w:val="22"/>
        </w:rPr>
        <w:t>As shown in Figure 1, maximum hourly heat input rates differ dramatically across primary fuel types. Coal-fired units (N = 424) operate at a mean thermal capacity of 5,221.2 mmBtu/hr (Median = 5,240.0 mmBtu/hr; IQR = 4,736.8 mmBtu/hr), which is more than 3.3 times the mean of natural gas units (N = 3,247; Mean = 1,553.0 mmBtu/hr; Median = 1,200.0 mmBtu/hr) and 6.7 times the mean of oil/diesel units (N = 312; Mean = 776.6 mmBtu/hr; Median = 482.0 mmBtu/hr). This stark divergence confirms that fuel category is a primary structural determinant of combustion scale.</w:t>
      </w:r>
    </w:p>
    <w:p>
      <w:pPr>
        <w:keepNext/>
        <w:spacing w:before="240" w:after="40"/>
      </w:pPr>
      <w:r>
        <w:rPr>
          <w:rFonts w:ascii="Times New Roman" w:hAnsi="Times New Roman"/>
          <w:b/>
          <w:sz w:val="22"/>
        </w:rPr>
        <w:t>Figure 2</w:t>
      </w:r>
    </w:p>
    <w:p>
      <w:pPr>
        <w:keepNext/>
        <w:spacing w:before="0" w:after="120"/>
      </w:pPr>
      <w:r>
        <w:rPr>
          <w:rFonts w:ascii="Times New Roman" w:hAnsi="Times New Roman"/>
          <w:i/>
          <w:sz w:val="22"/>
        </w:rPr>
        <w:t>Fleet Composition and Operational Scale Across Generating Technologies</w:t>
      </w:r>
    </w:p>
    <w:p>
      <w:pPr>
        <w:keepNext/>
        <w:spacing w:after="80"/>
        <w:jc w:val="center"/>
      </w:pPr>
      <w:r>
        <w:drawing>
          <wp:inline xmlns:a="http://schemas.openxmlformats.org/drawingml/2006/main" xmlns:pic="http://schemas.openxmlformats.org/drawingml/2006/picture">
            <wp:extent cx="5486400" cy="2391744"/>
            <wp:docPr id="2" name="Picture 2"/>
            <wp:cNvGraphicFramePr>
              <a:graphicFrameLocks noChangeAspect="1"/>
            </wp:cNvGraphicFramePr>
            <a:graphic>
              <a:graphicData uri="http://schemas.openxmlformats.org/drawingml/2006/picture">
                <pic:pic>
                  <pic:nvPicPr>
                    <pic:cNvPr id="0" name="figure2_unit_type_distribution.png"/>
                    <pic:cNvPicPr/>
                  </pic:nvPicPr>
                  <pic:blipFill>
                    <a:blip r:embed="rId12"/>
                    <a:stretch>
                      <a:fillRect/>
                    </a:stretch>
                  </pic:blipFill>
                  <pic:spPr>
                    <a:xfrm>
                      <a:off x="0" y="0"/>
                      <a:ext cx="5486400" cy="2391744"/>
                    </a:xfrm>
                    <a:prstGeom prst="rect"/>
                  </pic:spPr>
                </pic:pic>
              </a:graphicData>
            </a:graphic>
          </wp:inline>
        </w:drawing>
      </w:r>
    </w:p>
    <w:p>
      <w:pPr>
        <w:spacing w:before="40" w:after="240"/>
      </w:pPr>
      <w:r>
        <w:rPr>
          <w:rFonts w:ascii="Times New Roman" w:hAnsi="Times New Roman"/>
          <w:i/>
          <w:sz w:val="19"/>
        </w:rPr>
        <w:t xml:space="preserve">Note. </w:t>
      </w:r>
      <w:r>
        <w:rPr>
          <w:rFonts w:ascii="Times New Roman" w:hAnsi="Times New Roman"/>
          <w:sz w:val="19"/>
        </w:rPr>
        <w:t>Panel A displays unit counts by technology class across all 4,050 units. Panel B displays corresponding mean maximum hourly heat input rates (mmBtu/hr).</w:t>
      </w:r>
    </w:p>
    <w:p>
      <w:pPr>
        <w:spacing w:after="120" w:line="276" w:lineRule="auto"/>
        <w:jc w:val="left"/>
      </w:pPr>
      <w:r>
        <w:rPr>
          <w:rFonts w:ascii="Times New Roman" w:hAnsi="Times New Roman"/>
          <w:i w:val="0"/>
          <w:sz w:val="22"/>
        </w:rPr>
        <w:t>Figure 2 reveals a critical inverse relationship between unit count prevalence and per-unit thermal combustion scale. While simple-cycle Combustion Turbines (1,781 units, 44.0%) and Combined Cycle trains (1,341 units, 33.1%) represent 77.1% of all regulated units by count, traditional coal-dominated steam architectures—specifically Tangentially-Fired Boilers (238 units, Mean HI = 5,526 mmBtu/hr) and Dry-Bottom Wall-Fired Boilers (360 units, Mean HI = 3,991 mmBtu/hr)—operate at three to five times the hourly thermal heat input of gas turbines.</w:t>
      </w:r>
    </w:p>
    <w:p>
      <w:pPr>
        <w:keepNext/>
        <w:spacing w:before="240" w:after="40"/>
      </w:pPr>
      <w:r>
        <w:rPr>
          <w:rFonts w:ascii="Times New Roman" w:hAnsi="Times New Roman"/>
          <w:b/>
          <w:sz w:val="22"/>
        </w:rPr>
        <w:t>Figure 3</w:t>
      </w:r>
    </w:p>
    <w:p>
      <w:pPr>
        <w:keepNext/>
        <w:spacing w:before="0" w:after="120"/>
      </w:pPr>
      <w:r>
        <w:rPr>
          <w:rFonts w:ascii="Times New Roman" w:hAnsi="Times New Roman"/>
          <w:i/>
          <w:sz w:val="22"/>
        </w:rPr>
        <w:t>Air Pollution Control Technology Adoption Rate (%) by Primary Fuel</w:t>
      </w:r>
    </w:p>
    <w:p>
      <w:pPr>
        <w:keepNext/>
        <w:spacing w:after="80"/>
        <w:jc w:val="center"/>
      </w:pPr>
      <w:r>
        <w:drawing>
          <wp:inline xmlns:a="http://schemas.openxmlformats.org/drawingml/2006/main" xmlns:pic="http://schemas.openxmlformats.org/drawingml/2006/picture">
            <wp:extent cx="5486400" cy="3048000"/>
            <wp:docPr id="3" name="Picture 3"/>
            <wp:cNvGraphicFramePr>
              <a:graphicFrameLocks noChangeAspect="1"/>
            </wp:cNvGraphicFramePr>
            <a:graphic>
              <a:graphicData uri="http://schemas.openxmlformats.org/drawingml/2006/picture">
                <pic:pic>
                  <pic:nvPicPr>
                    <pic:cNvPr id="0" name="figure3_controls_by_fuel.png"/>
                    <pic:cNvPicPr/>
                  </pic:nvPicPr>
                  <pic:blipFill>
                    <a:blip r:embed="rId13"/>
                    <a:stretch>
                      <a:fillRect/>
                    </a:stretch>
                  </pic:blipFill>
                  <pic:spPr>
                    <a:xfrm>
                      <a:off x="0" y="0"/>
                      <a:ext cx="5486400" cy="3048000"/>
                    </a:xfrm>
                    <a:prstGeom prst="rect"/>
                  </pic:spPr>
                </pic:pic>
              </a:graphicData>
            </a:graphic>
          </wp:inline>
        </w:drawing>
      </w:r>
    </w:p>
    <w:p>
      <w:pPr>
        <w:spacing w:before="40" w:after="240"/>
      </w:pPr>
      <w:r>
        <w:rPr>
          <w:rFonts w:ascii="Times New Roman" w:hAnsi="Times New Roman"/>
          <w:i/>
          <w:sz w:val="19"/>
        </w:rPr>
        <w:t xml:space="preserve">Note. </w:t>
      </w:r>
      <w:r>
        <w:rPr>
          <w:rFonts w:ascii="Times New Roman" w:hAnsi="Times New Roman"/>
          <w:sz w:val="19"/>
        </w:rPr>
        <w:t>Percentage of generating units within each fuel class equipped with dedicated SO2, NOx, PM, and Hg abatement hardware.</w:t>
      </w:r>
    </w:p>
    <w:p>
      <w:pPr>
        <w:spacing w:after="120" w:line="276" w:lineRule="auto"/>
        <w:jc w:val="left"/>
      </w:pPr>
      <w:r>
        <w:rPr>
          <w:rFonts w:ascii="Times New Roman" w:hAnsi="Times New Roman"/>
          <w:i w:val="0"/>
          <w:sz w:val="22"/>
        </w:rPr>
        <w:t>Figure 3 demonstrates how federal statutory mandates (ARP, CSAPR, and MATS) have shaped pollution control adoption across fuels. Nitrogen oxide (NOₓ) abatement systems (Low-NOₓ burners, SCR, SNCR) are deployed across more than 85% of both coal and natural gas units. Conversely, flue gas desulfurization (SO₂ scrubbers), particulate matter collectors (ESP/baghouses), and mercury controls (ACI) are heavily concentrated in coal-fired units (&gt;80% adoption) and biomass boilers, whereas pipeline natural gas units rarely require post-combustion SO₂, PM, or Hg scrubbing due to negligible fuel sulfur and ash content.</w:t>
      </w:r>
    </w:p>
    <w:p>
      <w:pPr>
        <w:keepNext/>
        <w:spacing w:before="240" w:after="40"/>
      </w:pPr>
      <w:r>
        <w:rPr>
          <w:rFonts w:ascii="Times New Roman" w:hAnsi="Times New Roman"/>
          <w:b/>
          <w:sz w:val="22"/>
        </w:rPr>
        <w:t>Figure 4</w:t>
      </w:r>
    </w:p>
    <w:p>
      <w:pPr>
        <w:keepNext/>
        <w:spacing w:before="0" w:after="120"/>
      </w:pPr>
      <w:r>
        <w:rPr>
          <w:rFonts w:ascii="Times New Roman" w:hAnsi="Times New Roman"/>
          <w:i/>
          <w:sz w:val="22"/>
        </w:rPr>
        <w:t>Pearson Correlation Matrix of Operational and Emission Attributes</w:t>
      </w:r>
    </w:p>
    <w:p>
      <w:pPr>
        <w:keepNext/>
        <w:spacing w:after="80"/>
        <w:jc w:val="center"/>
      </w:pPr>
      <w:r>
        <w:drawing>
          <wp:inline xmlns:a="http://schemas.openxmlformats.org/drawingml/2006/main" xmlns:pic="http://schemas.openxmlformats.org/drawingml/2006/picture">
            <wp:extent cx="5486400" cy="4389120"/>
            <wp:docPr id="4" name="Picture 4"/>
            <wp:cNvGraphicFramePr>
              <a:graphicFrameLocks noChangeAspect="1"/>
            </wp:cNvGraphicFramePr>
            <a:graphic>
              <a:graphicData uri="http://schemas.openxmlformats.org/drawingml/2006/picture">
                <pic:pic>
                  <pic:nvPicPr>
                    <pic:cNvPr id="0" name="figure4_correlation_heatmap.png"/>
                    <pic:cNvPicPr/>
                  </pic:nvPicPr>
                  <pic:blipFill>
                    <a:blip r:embed="rId14"/>
                    <a:stretch>
                      <a:fillRect/>
                    </a:stretch>
                  </pic:blipFill>
                  <pic:spPr>
                    <a:xfrm>
                      <a:off x="0" y="0"/>
                      <a:ext cx="5486400" cy="4389120"/>
                    </a:xfrm>
                    <a:prstGeom prst="rect"/>
                  </pic:spPr>
                </pic:pic>
              </a:graphicData>
            </a:graphic>
          </wp:inline>
        </w:drawing>
      </w:r>
    </w:p>
    <w:p>
      <w:pPr>
        <w:spacing w:before="40" w:after="240"/>
      </w:pPr>
      <w:r>
        <w:rPr>
          <w:rFonts w:ascii="Times New Roman" w:hAnsi="Times New Roman"/>
          <w:i/>
          <w:sz w:val="19"/>
        </w:rPr>
        <w:t xml:space="preserve">Note. </w:t>
      </w:r>
      <w:r>
        <w:rPr>
          <w:rFonts w:ascii="Times New Roman" w:hAnsi="Times New Roman"/>
          <w:sz w:val="19"/>
        </w:rPr>
        <w:t>Pairwise Pearson linear correlation coefficients (r) across continuous and binary operational attributes (N = 4,050).</w:t>
      </w:r>
    </w:p>
    <w:p>
      <w:pPr>
        <w:spacing w:after="120" w:line="276" w:lineRule="auto"/>
        <w:jc w:val="left"/>
      </w:pPr>
      <w:r>
        <w:rPr>
          <w:rFonts w:ascii="Times New Roman" w:hAnsi="Times New Roman"/>
          <w:i w:val="0"/>
          <w:sz w:val="22"/>
        </w:rPr>
        <w:t>Figure 4 displays the bivariate Pearson correlation matrix across key quantitative attributes. Installed electrical capacity (Capacity_MW) exhibits a strong positive linear correlation with Heat Input Rate (r = 0.869, p &lt; 0.001) and High_Emitter status (r = 0.672, p &lt; 0.001). Multi-pollutant Control_Count correlates positively with Heat Input Rate (r = 0.366) and Unit_Age correlates positively with Control_Count (r = 0.147) and Heat Input Rate (r = 0.119). Because no pairwise correlation among candidate independent predictors (Capacity_MW, Unit_Age, Control_Count) exceeds r = 0.25, variance inflation factors (VIF &lt; 1.35) are well below the multicollinearity threshold of 5.0. Table 4 summarizes the actionable modeling decisions derived from Figures 1–4.</w:t>
      </w:r>
    </w:p>
    <w:p>
      <w:pPr>
        <w:keepNext/>
        <w:spacing w:before="240" w:after="40"/>
      </w:pPr>
      <w:r>
        <w:rPr>
          <w:rFonts w:ascii="Times New Roman" w:hAnsi="Times New Roman"/>
          <w:b/>
          <w:sz w:val="22"/>
        </w:rPr>
        <w:t>Table 4</w:t>
      </w:r>
    </w:p>
    <w:p>
      <w:pPr>
        <w:keepNext/>
        <w:spacing w:before="0" w:after="120"/>
      </w:pPr>
      <w:r>
        <w:rPr>
          <w:rFonts w:ascii="Times New Roman" w:hAnsi="Times New Roman"/>
          <w:i/>
          <w:sz w:val="22"/>
        </w:rPr>
        <w:t>Exploratory Data Analysis (EDA) Insight Summary Matrix</w:t>
      </w:r>
    </w:p>
    <w:tbl>
      <w:tblPr>
        <w:tblW w:type="auto" w:w="0"/>
        <w:tblLook w:firstColumn="1" w:firstRow="1" w:lastColumn="0" w:lastRow="0" w:noHBand="0" w:noVBand="1" w:val="04A0"/>
        <w:jc w:val="center"/>
        <w:tblBorders>
          <w:top w:val="single" w:sz="12" w:space="0" w:color="000000"/>
          <w:bottom w:val="single" w:sz="12" w:space="0" w:color="000000"/>
          <w:insideH w:val="single" w:sz="4" w:space="0" w:color="E5E5E5"/>
          <w:insideV w:val="none"/>
          <w:left w:val="none"/>
          <w:right w:val="none"/>
        </w:tblBorders>
      </w:tblPr>
      <w:tblGrid>
        <w:gridCol w:w="1872"/>
        <w:gridCol w:w="1872"/>
        <w:gridCol w:w="1872"/>
        <w:gridCol w:w="1872"/>
        <w:gridCol w:w="1872"/>
      </w:tblGrid>
      <w:tr>
        <w:trPr>
          <w:tblHeader/>
        </w:trPr>
        <w:tc>
          <w:tcPr>
            <w:tcW w:type="dxa" w:w="1440"/>
            <w:tcBorders>
              <w:bottom w:val="single" w:sz="12" w:space="0" w:color="000000"/>
            </w:tcBorders>
            <w:shd w:fill="F4F6F8"/>
          </w:tcPr>
          <w:p>
            <w:pPr>
              <w:spacing w:before="60" w:after="60" w:line="240" w:lineRule="auto"/>
              <w:jc w:val="center"/>
            </w:pPr>
            <w:r>
              <w:rPr>
                <w:rFonts w:ascii="Times New Roman" w:hAnsi="Times New Roman"/>
                <w:b/>
                <w:sz w:val="19"/>
              </w:rPr>
              <w:t>Figure Ref</w:t>
            </w:r>
          </w:p>
        </w:tc>
        <w:tc>
          <w:tcPr>
            <w:tcW w:type="dxa" w:w="2016"/>
            <w:tcBorders>
              <w:bottom w:val="single" w:sz="12" w:space="0" w:color="000000"/>
            </w:tcBorders>
            <w:shd w:fill="F4F6F8"/>
          </w:tcPr>
          <w:p>
            <w:pPr>
              <w:spacing w:before="60" w:after="60" w:line="240" w:lineRule="auto"/>
              <w:jc w:val="center"/>
            </w:pPr>
            <w:r>
              <w:rPr>
                <w:rFonts w:ascii="Times New Roman" w:hAnsi="Times New Roman"/>
                <w:b/>
                <w:sz w:val="19"/>
              </w:rPr>
              <w:t>What it Shows</w:t>
            </w:r>
          </w:p>
        </w:tc>
        <w:tc>
          <w:tcPr>
            <w:tcW w:type="dxa" w:w="2304"/>
            <w:tcBorders>
              <w:bottom w:val="single" w:sz="12" w:space="0" w:color="000000"/>
            </w:tcBorders>
            <w:shd w:fill="F4F6F8"/>
          </w:tcPr>
          <w:p>
            <w:pPr>
              <w:spacing w:before="60" w:after="60" w:line="240" w:lineRule="auto"/>
              <w:jc w:val="center"/>
            </w:pPr>
            <w:r>
              <w:rPr>
                <w:rFonts w:ascii="Times New Roman" w:hAnsi="Times New Roman"/>
                <w:b/>
                <w:sz w:val="19"/>
              </w:rPr>
              <w:t>Key Empirical Insight</w:t>
            </w:r>
          </w:p>
        </w:tc>
        <w:tc>
          <w:tcPr>
            <w:tcW w:type="dxa" w:w="2160"/>
            <w:tcBorders>
              <w:bottom w:val="single" w:sz="12" w:space="0" w:color="000000"/>
            </w:tcBorders>
            <w:shd w:fill="F4F6F8"/>
          </w:tcPr>
          <w:p>
            <w:pPr>
              <w:spacing w:before="60" w:after="60" w:line="240" w:lineRule="auto"/>
              <w:jc w:val="center"/>
            </w:pPr>
            <w:r>
              <w:rPr>
                <w:rFonts w:ascii="Times New Roman" w:hAnsi="Times New Roman"/>
                <w:b/>
                <w:sz w:val="19"/>
              </w:rPr>
              <w:t>Linkage to RQ / Objective</w:t>
            </w:r>
          </w:p>
        </w:tc>
        <w:tc>
          <w:tcPr>
            <w:tcW w:type="dxa" w:w="2160"/>
            <w:tcBorders>
              <w:bottom w:val="single" w:sz="12" w:space="0" w:color="000000"/>
            </w:tcBorders>
            <w:shd w:fill="F4F6F8"/>
          </w:tcPr>
          <w:p>
            <w:pPr>
              <w:spacing w:before="60" w:after="60" w:line="240" w:lineRule="auto"/>
              <w:jc w:val="center"/>
            </w:pPr>
            <w:r>
              <w:rPr>
                <w:rFonts w:ascii="Times New Roman" w:hAnsi="Times New Roman"/>
                <w:b/>
                <w:sz w:val="19"/>
              </w:rPr>
              <w:t>Analytical Decision / Next Step</w:t>
            </w:r>
          </w:p>
        </w:tc>
      </w:tr>
      <w:tr>
        <w:tc>
          <w:tcPr>
            <w:tcW w:type="dxa" w:w="1440"/>
          </w:tcPr>
          <w:p>
            <w:pPr>
              <w:spacing w:before="40" w:after="40" w:line="252" w:lineRule="auto"/>
              <w:jc w:val="left"/>
            </w:pPr>
            <w:r>
              <w:rPr>
                <w:rFonts w:ascii="Times New Roman" w:hAnsi="Times New Roman"/>
                <w:sz w:val="18"/>
              </w:rPr>
              <w:t>Figure 1</w:t>
            </w:r>
          </w:p>
        </w:tc>
        <w:tc>
          <w:tcPr>
            <w:tcW w:type="dxa" w:w="2016"/>
          </w:tcPr>
          <w:p>
            <w:pPr>
              <w:spacing w:before="40" w:after="40" w:line="252" w:lineRule="auto"/>
              <w:jc w:val="left"/>
            </w:pPr>
            <w:r>
              <w:rPr>
                <w:rFonts w:ascii="Times New Roman" w:hAnsi="Times New Roman"/>
                <w:sz w:val="18"/>
              </w:rPr>
              <w:t>Heat Input Distribution across Fuels</w:t>
            </w:r>
          </w:p>
        </w:tc>
        <w:tc>
          <w:tcPr>
            <w:tcW w:type="dxa" w:w="2304"/>
          </w:tcPr>
          <w:p>
            <w:pPr>
              <w:spacing w:before="40" w:after="40" w:line="252" w:lineRule="auto"/>
              <w:jc w:val="left"/>
            </w:pPr>
            <w:r>
              <w:rPr>
                <w:rFonts w:ascii="Times New Roman" w:hAnsi="Times New Roman"/>
                <w:sz w:val="18"/>
              </w:rPr>
              <w:t>Coal units average 5,221.2 mmBtu/hr vs 1,553.0 mmBtu/hr for Natural Gas and 776.6 mmBtu/hr for Oil/Diesel.</w:t>
            </w:r>
          </w:p>
        </w:tc>
        <w:tc>
          <w:tcPr>
            <w:tcW w:type="dxa" w:w="2160"/>
          </w:tcPr>
          <w:p>
            <w:pPr>
              <w:spacing w:before="40" w:after="40" w:line="252" w:lineRule="auto"/>
              <w:jc w:val="left"/>
            </w:pPr>
            <w:r>
              <w:rPr>
                <w:rFonts w:ascii="Times New Roman" w:hAnsi="Times New Roman"/>
                <w:sz w:val="18"/>
              </w:rPr>
              <w:t>Directly addresses RQ1; demonstrates extreme right-skewness and heteroscedasticity.</w:t>
            </w:r>
          </w:p>
        </w:tc>
        <w:tc>
          <w:tcPr>
            <w:tcW w:type="dxa" w:w="2160"/>
          </w:tcPr>
          <w:p>
            <w:pPr>
              <w:spacing w:before="40" w:after="40" w:line="252" w:lineRule="auto"/>
              <w:jc w:val="left"/>
            </w:pPr>
            <w:r>
              <w:rPr>
                <w:rFonts w:ascii="Times New Roman" w:hAnsi="Times New Roman"/>
                <w:sz w:val="18"/>
              </w:rPr>
              <w:t>Pair parametric ANOVA with non-parametric Kruskal-Wallis; include fuel dummies in RQ2.</w:t>
            </w:r>
          </w:p>
        </w:tc>
      </w:tr>
      <w:tr>
        <w:tc>
          <w:tcPr>
            <w:tcW w:type="dxa" w:w="1440"/>
            <w:shd w:fill="FAFAFA"/>
          </w:tcPr>
          <w:p>
            <w:pPr>
              <w:spacing w:before="40" w:after="40" w:line="252" w:lineRule="auto"/>
              <w:jc w:val="left"/>
            </w:pPr>
            <w:r>
              <w:rPr>
                <w:rFonts w:ascii="Times New Roman" w:hAnsi="Times New Roman"/>
                <w:sz w:val="18"/>
              </w:rPr>
              <w:t>Figure 2</w:t>
            </w:r>
          </w:p>
        </w:tc>
        <w:tc>
          <w:tcPr>
            <w:tcW w:type="dxa" w:w="2016"/>
            <w:shd w:fill="FAFAFA"/>
          </w:tcPr>
          <w:p>
            <w:pPr>
              <w:spacing w:before="40" w:after="40" w:line="252" w:lineRule="auto"/>
              <w:jc w:val="left"/>
            </w:pPr>
            <w:r>
              <w:rPr>
                <w:rFonts w:ascii="Times New Roman" w:hAnsi="Times New Roman"/>
                <w:sz w:val="18"/>
              </w:rPr>
              <w:t>Technology Count vs Thermal Scale</w:t>
            </w:r>
          </w:p>
        </w:tc>
        <w:tc>
          <w:tcPr>
            <w:tcW w:type="dxa" w:w="2304"/>
            <w:shd w:fill="FAFAFA"/>
          </w:tcPr>
          <w:p>
            <w:pPr>
              <w:spacing w:before="40" w:after="40" w:line="252" w:lineRule="auto"/>
              <w:jc w:val="left"/>
            </w:pPr>
            <w:r>
              <w:rPr>
                <w:rFonts w:ascii="Times New Roman" w:hAnsi="Times New Roman"/>
                <w:sz w:val="18"/>
              </w:rPr>
              <w:t>Gas turbines comprise 77.1% of units, but Tangential (5,526 mmBtu/hr) and Wall-Fired (3,991 mmBtu/hr) boilers dominate heat rate.</w:t>
            </w:r>
          </w:p>
        </w:tc>
        <w:tc>
          <w:tcPr>
            <w:tcW w:type="dxa" w:w="2160"/>
            <w:shd w:fill="FAFAFA"/>
          </w:tcPr>
          <w:p>
            <w:pPr>
              <w:spacing w:before="40" w:after="40" w:line="252" w:lineRule="auto"/>
              <w:jc w:val="left"/>
            </w:pPr>
            <w:r>
              <w:rPr>
                <w:rFonts w:ascii="Times New Roman" w:hAnsi="Times New Roman"/>
                <w:sz w:val="18"/>
              </w:rPr>
              <w:t>Links thermodynamic cycle architecture to high-emitter compliance risk (RQ2).</w:t>
            </w:r>
          </w:p>
        </w:tc>
        <w:tc>
          <w:tcPr>
            <w:tcW w:type="dxa" w:w="2160"/>
            <w:shd w:fill="FAFAFA"/>
          </w:tcPr>
          <w:p>
            <w:pPr>
              <w:spacing w:before="40" w:after="40" w:line="252" w:lineRule="auto"/>
              <w:jc w:val="left"/>
            </w:pPr>
            <w:r>
              <w:rPr>
                <w:rFonts w:ascii="Times New Roman" w:hAnsi="Times New Roman"/>
                <w:sz w:val="18"/>
              </w:rPr>
              <w:t>Encode consolidated Unit_Type_Category as key categorical predictor in ML models.</w:t>
            </w:r>
          </w:p>
        </w:tc>
      </w:tr>
      <w:tr>
        <w:tc>
          <w:tcPr>
            <w:tcW w:type="dxa" w:w="1440"/>
          </w:tcPr>
          <w:p>
            <w:pPr>
              <w:spacing w:before="40" w:after="40" w:line="252" w:lineRule="auto"/>
              <w:jc w:val="left"/>
            </w:pPr>
            <w:r>
              <w:rPr>
                <w:rFonts w:ascii="Times New Roman" w:hAnsi="Times New Roman"/>
                <w:sz w:val="18"/>
              </w:rPr>
              <w:t>Figure 3</w:t>
            </w:r>
          </w:p>
        </w:tc>
        <w:tc>
          <w:tcPr>
            <w:tcW w:type="dxa" w:w="2016"/>
          </w:tcPr>
          <w:p>
            <w:pPr>
              <w:spacing w:before="40" w:after="40" w:line="252" w:lineRule="auto"/>
              <w:jc w:val="left"/>
            </w:pPr>
            <w:r>
              <w:rPr>
                <w:rFonts w:ascii="Times New Roman" w:hAnsi="Times New Roman"/>
                <w:sz w:val="18"/>
              </w:rPr>
              <w:t>Abatement Adoption by Fuel Class</w:t>
            </w:r>
          </w:p>
        </w:tc>
        <w:tc>
          <w:tcPr>
            <w:tcW w:type="dxa" w:w="2304"/>
          </w:tcPr>
          <w:p>
            <w:pPr>
              <w:spacing w:before="40" w:after="40" w:line="252" w:lineRule="auto"/>
              <w:jc w:val="left"/>
            </w:pPr>
            <w:r>
              <w:rPr>
                <w:rFonts w:ascii="Times New Roman" w:hAnsi="Times New Roman"/>
                <w:sz w:val="18"/>
              </w:rPr>
              <w:t>NOx controls are ubiquitous (&gt;85%), while SO2, PM, and Hg scrubbers are concentrated (&gt;80%) in coal boilers.</w:t>
            </w:r>
          </w:p>
        </w:tc>
        <w:tc>
          <w:tcPr>
            <w:tcW w:type="dxa" w:w="2160"/>
          </w:tcPr>
          <w:p>
            <w:pPr>
              <w:spacing w:before="40" w:after="40" w:line="252" w:lineRule="auto"/>
              <w:jc w:val="left"/>
            </w:pPr>
            <w:r>
              <w:rPr>
                <w:rFonts w:ascii="Times New Roman" w:hAnsi="Times New Roman"/>
                <w:sz w:val="18"/>
              </w:rPr>
              <w:t>Captures capital compliance burden under Clean Air Act mandates (RQ2, RQ3, RQ4).</w:t>
            </w:r>
          </w:p>
        </w:tc>
        <w:tc>
          <w:tcPr>
            <w:tcW w:type="dxa" w:w="2160"/>
          </w:tcPr>
          <w:p>
            <w:pPr>
              <w:spacing w:before="40" w:after="40" w:line="252" w:lineRule="auto"/>
              <w:jc w:val="left"/>
            </w:pPr>
            <w:r>
              <w:rPr>
                <w:rFonts w:ascii="Times New Roman" w:hAnsi="Times New Roman"/>
                <w:sz w:val="18"/>
              </w:rPr>
              <w:t>Engineer composite Control_Count (0–4) as continuous predictor and clustering dimension.</w:t>
            </w:r>
          </w:p>
        </w:tc>
      </w:tr>
      <w:tr>
        <w:tc>
          <w:tcPr>
            <w:tcW w:type="dxa" w:w="1440"/>
            <w:shd w:fill="FAFAFA"/>
          </w:tcPr>
          <w:p>
            <w:pPr>
              <w:spacing w:before="40" w:after="40" w:line="252" w:lineRule="auto"/>
              <w:jc w:val="left"/>
            </w:pPr>
            <w:r>
              <w:rPr>
                <w:rFonts w:ascii="Times New Roman" w:hAnsi="Times New Roman"/>
                <w:sz w:val="18"/>
              </w:rPr>
              <w:t>Figure 4</w:t>
            </w:r>
          </w:p>
        </w:tc>
        <w:tc>
          <w:tcPr>
            <w:tcW w:type="dxa" w:w="2016"/>
            <w:shd w:fill="FAFAFA"/>
          </w:tcPr>
          <w:p>
            <w:pPr>
              <w:spacing w:before="40" w:after="40" w:line="252" w:lineRule="auto"/>
              <w:jc w:val="left"/>
            </w:pPr>
            <w:r>
              <w:rPr>
                <w:rFonts w:ascii="Times New Roman" w:hAnsi="Times New Roman"/>
                <w:sz w:val="18"/>
              </w:rPr>
              <w:t>Bivariate Correlation Heatmap</w:t>
            </w:r>
          </w:p>
        </w:tc>
        <w:tc>
          <w:tcPr>
            <w:tcW w:type="dxa" w:w="2304"/>
            <w:shd w:fill="FAFAFA"/>
          </w:tcPr>
          <w:p>
            <w:pPr>
              <w:spacing w:before="40" w:after="40" w:line="252" w:lineRule="auto"/>
              <w:jc w:val="left"/>
            </w:pPr>
            <w:r>
              <w:rPr>
                <w:rFonts w:ascii="Times New Roman" w:hAnsi="Times New Roman"/>
                <w:sz w:val="18"/>
              </w:rPr>
              <w:t>Capacity strongly correlates with Heat Input (r = 0.869); Age shows modest bivariate r = 0.119; low predictor collinearity.</w:t>
            </w:r>
          </w:p>
        </w:tc>
        <w:tc>
          <w:tcPr>
            <w:tcW w:type="dxa" w:w="2160"/>
            <w:shd w:fill="FAFAFA"/>
          </w:tcPr>
          <w:p>
            <w:pPr>
              <w:spacing w:before="40" w:after="40" w:line="252" w:lineRule="auto"/>
              <w:jc w:val="left"/>
            </w:pPr>
            <w:r>
              <w:rPr>
                <w:rFonts w:ascii="Times New Roman" w:hAnsi="Times New Roman"/>
                <w:sz w:val="18"/>
              </w:rPr>
              <w:t>Informs RQ3 bivariate vs multivariate OLS design and RQ4 feature standardization.</w:t>
            </w:r>
          </w:p>
        </w:tc>
        <w:tc>
          <w:tcPr>
            <w:tcW w:type="dxa" w:w="2160"/>
            <w:shd w:fill="FAFAFA"/>
          </w:tcPr>
          <w:p>
            <w:pPr>
              <w:spacing w:before="40" w:after="40" w:line="252" w:lineRule="auto"/>
              <w:jc w:val="left"/>
            </w:pPr>
            <w:r>
              <w:rPr>
                <w:rFonts w:ascii="Times New Roman" w:hAnsi="Times New Roman"/>
                <w:sz w:val="18"/>
              </w:rPr>
              <w:t>Estimate both bivariate and capacity-controlled multivariate OLS; apply log1p + Z-scaling for K-Means.</w:t>
            </w:r>
          </w:p>
        </w:tc>
      </w:tr>
    </w:tbl>
    <w:p>
      <w:pPr>
        <w:spacing w:before="60" w:after="240"/>
      </w:pPr>
      <w:r>
        <w:rPr>
          <w:rFonts w:ascii="Times New Roman" w:hAnsi="Times New Roman"/>
          <w:i/>
          <w:sz w:val="18"/>
        </w:rPr>
        <w:t xml:space="preserve">Note. </w:t>
      </w:r>
      <w:r>
        <w:rPr>
          <w:rFonts w:ascii="Times New Roman" w:hAnsi="Times New Roman"/>
          <w:sz w:val="18"/>
        </w:rPr>
        <w:t>Synthesis of exploratory visualizations, distributional properties, and direct linkages to subsequent modeling stages.</w:t>
      </w:r>
    </w:p>
    <w:p>
      <w:pPr>
        <w:keepNext/>
        <w:spacing w:before="240" w:after="120"/>
        <w:jc w:val="left"/>
      </w:pPr>
      <w:r>
        <w:rPr>
          <w:rFonts w:ascii="Times New Roman" w:hAnsi="Times New Roman"/>
          <w:b/>
          <w:color w:val="19375F"/>
          <w:sz w:val="24"/>
        </w:rPr>
        <w:t>Research Hypotheses and Statistical Methods Evaluated at α = 0.05</w:t>
      </w:r>
    </w:p>
    <w:p>
      <w:pPr>
        <w:spacing w:after="120" w:line="276" w:lineRule="auto"/>
        <w:jc w:val="left"/>
      </w:pPr>
      <w:r>
        <w:rPr>
          <w:rFonts w:ascii="Times New Roman" w:hAnsi="Times New Roman"/>
          <w:i w:val="0"/>
          <w:sz w:val="22"/>
        </w:rPr>
        <w:t>In accordance with the QM640 Final Report methodological guidelines, formal null (H₀) and alternative (Hₐ) hypotheses were specified for each of the four research questions and evaluated at a strict two-tailed significance level of α = 0.05:</w:t>
      </w:r>
    </w:p>
    <w:p>
      <w:pPr>
        <w:keepNext/>
        <w:spacing w:before="160" w:after="80"/>
        <w:jc w:val="left"/>
      </w:pPr>
      <w:r>
        <w:rPr>
          <w:rFonts w:ascii="Times New Roman" w:hAnsi="Times New Roman"/>
          <w:b/>
          <w:i/>
          <w:color w:val="282828"/>
          <w:sz w:val="22"/>
        </w:rPr>
        <w:t>RQ1 Hypotheses and Inferential Methods (One-Way ANOVA, Kruskal-Wallis, Tukey HSD)</w:t>
      </w:r>
    </w:p>
    <w:p>
      <w:pPr>
        <w:spacing w:after="60" w:line="276" w:lineRule="auto"/>
        <w:jc w:val="left"/>
      </w:pPr>
      <w:r>
        <w:rPr>
          <w:rFonts w:ascii="Times New Roman" w:hAnsi="Times New Roman"/>
          <w:b/>
          <w:sz w:val="22"/>
        </w:rPr>
        <w:t xml:space="preserve">Null Hypothesis (H₀): </w:t>
      </w:r>
      <w:r>
        <w:rPr>
          <w:rFonts w:ascii="Times New Roman" w:hAnsi="Times New Roman"/>
          <w:i w:val="0"/>
          <w:sz w:val="22"/>
        </w:rPr>
        <w:t>H₀ (Null Hypothesis): Mean and median maximum hourly heat input rates are equal across all five primary fuel categories (μ_Coal = μ_NaturalGas = μ_OilDiesel = μ_Biomass = μ_Other).</w:t>
      </w:r>
    </w:p>
    <w:p>
      <w:pPr>
        <w:spacing w:after="60" w:line="276" w:lineRule="auto"/>
        <w:jc w:val="left"/>
      </w:pPr>
      <w:r>
        <w:rPr>
          <w:rFonts w:ascii="Times New Roman" w:hAnsi="Times New Roman"/>
          <w:b/>
          <w:sz w:val="22"/>
        </w:rPr>
        <w:t xml:space="preserve">Alternative Hypothesis (Hₐ): </w:t>
      </w:r>
      <w:r>
        <w:rPr>
          <w:rFonts w:ascii="Times New Roman" w:hAnsi="Times New Roman"/>
          <w:i w:val="0"/>
          <w:sz w:val="22"/>
        </w:rPr>
        <w:t>Hₐ (Alternative Hypothesis): At least one primary fuel category exhibits a statistically significant difference in mean or median maximum hourly heat input rate (∃ i, j such that μ_i ≠ μ_j).</w:t>
      </w:r>
    </w:p>
    <w:p>
      <w:pPr>
        <w:spacing w:after="160" w:line="276" w:lineRule="auto"/>
        <w:jc w:val="left"/>
      </w:pPr>
      <w:r>
        <w:rPr>
          <w:rFonts w:ascii="Times New Roman" w:hAnsi="Times New Roman"/>
          <w:b/>
          <w:sz w:val="22"/>
        </w:rPr>
        <w:t xml:space="preserve">Statistical Justification: </w:t>
      </w:r>
      <w:r>
        <w:rPr>
          <w:rFonts w:ascii="Times New Roman" w:hAnsi="Times New Roman"/>
          <w:i w:val="0"/>
          <w:sz w:val="22"/>
        </w:rPr>
        <w:t>To test H₀ at α = 0.05, parametric One-Way Analysis of Variance (ANOVA) was executed using the linear model Y_ij = μ + τ_i + ε_ij, where F = MS_between / MS_within follows an F(k - 1, N - k) distribution with df₁ = 4 and df₂ = 4,045. Practical effect size was quantified via Eta-squared (η² = SS_between / SS_total). Because industrial thermal distributions exhibit skewness, the non-parametric Kruskal-Wallis rank-sum test (H-statistic distributed asymptotically as χ² with df = 4) was conducted in parallel. To identify exact pairwise fuel differences while maintaining family-wise Type I error control at α = 0.05, Tukey's Honestly Significant Difference (HSD) post-hoc test was applied.</w:t>
      </w:r>
    </w:p>
    <w:p>
      <w:pPr>
        <w:keepNext/>
        <w:spacing w:before="160" w:after="80"/>
        <w:jc w:val="left"/>
      </w:pPr>
      <w:r>
        <w:rPr>
          <w:rFonts w:ascii="Times New Roman" w:hAnsi="Times New Roman"/>
          <w:b/>
          <w:i/>
          <w:color w:val="282828"/>
          <w:sz w:val="22"/>
        </w:rPr>
        <w:t>RQ2 Hypotheses and Supervised Machine Learning Methods (Logistic Regression, Random Forest, Gradient Boosting)</w:t>
      </w:r>
    </w:p>
    <w:p>
      <w:pPr>
        <w:spacing w:after="60" w:line="276" w:lineRule="auto"/>
        <w:jc w:val="left"/>
      </w:pPr>
      <w:r>
        <w:rPr>
          <w:rFonts w:ascii="Times New Roman" w:hAnsi="Times New Roman"/>
          <w:b/>
          <w:sz w:val="22"/>
        </w:rPr>
        <w:t xml:space="preserve">Null Hypothesis (H₀): </w:t>
      </w:r>
      <w:r>
        <w:rPr>
          <w:rFonts w:ascii="Times New Roman" w:hAnsi="Times New Roman"/>
          <w:i w:val="0"/>
          <w:sz w:val="22"/>
        </w:rPr>
        <w:t>H₀ (Null Hypothesis): Facility and unit operational attributes provide no discriminative signal for classifying top-quartile high-emission units beyond random chance (ROC-AUC ≤ 0.50; F1-Score ≤ baseline prevalence).</w:t>
      </w:r>
    </w:p>
    <w:p>
      <w:pPr>
        <w:spacing w:after="60" w:line="276" w:lineRule="auto"/>
        <w:jc w:val="left"/>
      </w:pPr>
      <w:r>
        <w:rPr>
          <w:rFonts w:ascii="Times New Roman" w:hAnsi="Times New Roman"/>
          <w:b/>
          <w:sz w:val="22"/>
        </w:rPr>
        <w:t xml:space="preserve">Alternative Hypothesis (Hₐ): </w:t>
      </w:r>
      <w:r>
        <w:rPr>
          <w:rFonts w:ascii="Times New Roman" w:hAnsi="Times New Roman"/>
          <w:i w:val="0"/>
          <w:sz w:val="22"/>
        </w:rPr>
        <w:t>Hₐ (Alternative Hypothesis): Supervised machine learning classifiers trained on unit attributes achieve statistically superior out-of-sample discrimination (ROC-AUC &gt;= 0.90; F1-Score &gt;= 0.80).</w:t>
      </w:r>
    </w:p>
    <w:p>
      <w:pPr>
        <w:spacing w:after="160" w:line="276" w:lineRule="auto"/>
        <w:jc w:val="left"/>
      </w:pPr>
      <w:r>
        <w:rPr>
          <w:rFonts w:ascii="Times New Roman" w:hAnsi="Times New Roman"/>
          <w:b/>
          <w:sz w:val="22"/>
        </w:rPr>
        <w:t xml:space="preserve">Model Selection Justification: </w:t>
      </w:r>
      <w:r>
        <w:rPr>
          <w:rFonts w:ascii="Times New Roman" w:hAnsi="Times New Roman"/>
          <w:i w:val="0"/>
          <w:sz w:val="22"/>
        </w:rPr>
        <w:t>To evaluate H₀, three distinct supervised classification paradigms were selected and justified: (1) L2-Regularized (Ridge) Logistic Regression with balanced class weights, establishing an interpretable linear log-odds baseline; (2) Random Forest Classifier (150 trees, max depth = 10, balanced class weights), utilizing bootstrap aggregation (bagging) and randomized feature subsets to capture non-linear interactions and compute Mean Decrease in Impurity (Gini importance); and (3) Gradient Boosting Classifier (100 sequential trees, learning rate = 0.1, max depth = 5), optimizing stage-wise binomial deviance residuals to maximize boundary precision.</w:t>
      </w:r>
    </w:p>
    <w:p>
      <w:pPr>
        <w:keepNext/>
        <w:spacing w:before="160" w:after="80"/>
        <w:jc w:val="left"/>
      </w:pPr>
      <w:r>
        <w:rPr>
          <w:rFonts w:ascii="Times New Roman" w:hAnsi="Times New Roman"/>
          <w:b/>
          <w:i/>
          <w:color w:val="282828"/>
          <w:sz w:val="22"/>
        </w:rPr>
        <w:t>RQ3 Hypotheses and Econometric Regression Methods (Bivariate and Multivariate OLS)</w:t>
      </w:r>
    </w:p>
    <w:p>
      <w:pPr>
        <w:spacing w:after="60" w:line="276" w:lineRule="auto"/>
        <w:jc w:val="left"/>
      </w:pPr>
      <w:r>
        <w:rPr>
          <w:rFonts w:ascii="Times New Roman" w:hAnsi="Times New Roman"/>
          <w:b/>
          <w:sz w:val="22"/>
        </w:rPr>
        <w:t xml:space="preserve">Null Hypothesis (H₀): </w:t>
      </w:r>
      <w:r>
        <w:rPr>
          <w:rFonts w:ascii="Times New Roman" w:hAnsi="Times New Roman"/>
          <w:i w:val="0"/>
          <w:sz w:val="22"/>
        </w:rPr>
        <w:t>H₀ (Null Hypothesis): The linear regression slope relating generating unit age (vintage) to maximum hourly heat input rate is equal to zero (β_Age = 0; Pearson r = 0; Spearman ρ = 0).</w:t>
      </w:r>
    </w:p>
    <w:p>
      <w:pPr>
        <w:spacing w:after="60" w:line="276" w:lineRule="auto"/>
        <w:jc w:val="left"/>
      </w:pPr>
      <w:r>
        <w:rPr>
          <w:rFonts w:ascii="Times New Roman" w:hAnsi="Times New Roman"/>
          <w:b/>
          <w:sz w:val="22"/>
        </w:rPr>
        <w:t xml:space="preserve">Alternative Hypothesis (Hₐ): </w:t>
      </w:r>
      <w:r>
        <w:rPr>
          <w:rFonts w:ascii="Times New Roman" w:hAnsi="Times New Roman"/>
          <w:i w:val="0"/>
          <w:sz w:val="22"/>
        </w:rPr>
        <w:t>Hₐ (Alternative Hypothesis): Generating unit age exerts a statistically significant non-zero effect on maximum hourly heat input rate (β_Age ≠ 0 at α = 0.05).</w:t>
      </w:r>
    </w:p>
    <w:p>
      <w:pPr>
        <w:spacing w:after="160" w:line="276" w:lineRule="auto"/>
        <w:jc w:val="left"/>
      </w:pPr>
      <w:r>
        <w:rPr>
          <w:rFonts w:ascii="Times New Roman" w:hAnsi="Times New Roman"/>
          <w:b/>
          <w:sz w:val="22"/>
        </w:rPr>
        <w:t xml:space="preserve">Econometric Justification: </w:t>
      </w:r>
      <w:r>
        <w:rPr>
          <w:rFonts w:ascii="Times New Roman" w:hAnsi="Times New Roman"/>
          <w:i w:val="0"/>
          <w:sz w:val="22"/>
        </w:rPr>
        <w:t>To test H₀ and isolate confounding scale effects, both Pearson parametric correlation (r) and Spearman rank correlation (ρ) were computed, followed by two Ordinary Least Squares (OLS) specifications: Model 3A (Simple Bivariate OLS: Heat_Input_Rate = β₀ + β₁·Unit_Age + ε, df = 4,048) and Model 3B (Multivariate OLS controlling for physical megawatt scale and abatement hardware: Heat_Input_Rate = β₀ + β₁·Unit_Age + β₂·Capacity_MW + β₃·Control_Count + ε, df = 4,046). Individual parameter significance was evaluated via two-tailed t-tests (t = β̂_j / SE(β̂_j)) and omnibus model fit via the F-statistic, R², Adjusted R², RMSE, and MAE.</w:t>
      </w:r>
    </w:p>
    <w:p>
      <w:pPr>
        <w:keepNext/>
        <w:spacing w:before="160" w:after="80"/>
        <w:jc w:val="left"/>
      </w:pPr>
      <w:r>
        <w:rPr>
          <w:rFonts w:ascii="Times New Roman" w:hAnsi="Times New Roman"/>
          <w:b/>
          <w:i/>
          <w:color w:val="282828"/>
          <w:sz w:val="22"/>
        </w:rPr>
        <w:t>RQ4 Hypotheses and Unsupervised Segmentation Methods (K-Means Clustering and 2D PCA)</w:t>
      </w:r>
    </w:p>
    <w:p>
      <w:pPr>
        <w:spacing w:after="60" w:line="276" w:lineRule="auto"/>
        <w:jc w:val="left"/>
      </w:pPr>
      <w:r>
        <w:rPr>
          <w:rFonts w:ascii="Times New Roman" w:hAnsi="Times New Roman"/>
          <w:b/>
          <w:sz w:val="22"/>
        </w:rPr>
        <w:t xml:space="preserve">Null Hypothesis (H₀): </w:t>
      </w:r>
      <w:r>
        <w:rPr>
          <w:rFonts w:ascii="Times New Roman" w:hAnsi="Times New Roman"/>
          <w:i w:val="0"/>
          <w:sz w:val="22"/>
        </w:rPr>
        <w:t>H₀ (Null Hypothesis): The 4,050 generating units form a homogeneous, unclustered continuum in multidimensional operational space (mean Silhouette coefficient s ≤ 0.20).</w:t>
      </w:r>
    </w:p>
    <w:p>
      <w:pPr>
        <w:spacing w:after="60" w:line="276" w:lineRule="auto"/>
        <w:jc w:val="left"/>
      </w:pPr>
      <w:r>
        <w:rPr>
          <w:rFonts w:ascii="Times New Roman" w:hAnsi="Times New Roman"/>
          <w:b/>
          <w:sz w:val="22"/>
        </w:rPr>
        <w:t xml:space="preserve">Alternative Hypothesis (Hₐ): </w:t>
      </w:r>
      <w:r>
        <w:rPr>
          <w:rFonts w:ascii="Times New Roman" w:hAnsi="Times New Roman"/>
          <w:i w:val="0"/>
          <w:sz w:val="22"/>
        </w:rPr>
        <w:t>Hₐ (Alternative Hypothesis): The national power fleet partitions into k &gt;= 3 cohesive, well-separated operational archetypes (Silhouette coefficient s &gt; 0.40) with low-dimensional orthogonal structure.</w:t>
      </w:r>
    </w:p>
    <w:p>
      <w:pPr>
        <w:spacing w:after="240" w:line="276" w:lineRule="auto"/>
        <w:jc w:val="left"/>
      </w:pPr>
      <w:r>
        <w:rPr>
          <w:rFonts w:ascii="Times New Roman" w:hAnsi="Times New Roman"/>
          <w:b/>
          <w:sz w:val="22"/>
        </w:rPr>
        <w:t xml:space="preserve">Clustering &amp; PCA Justification: </w:t>
      </w:r>
      <w:r>
        <w:rPr>
          <w:rFonts w:ascii="Times New Roman" w:hAnsi="Times New Roman"/>
          <w:i w:val="0"/>
          <w:sz w:val="22"/>
        </w:rPr>
        <w:t>K-Means clustering (MacQueen, 1967) was executed on four continuous operational dimensions: Log_Capacity, Log_Heat_Input, Unit_Age, and Control_Count. Logarithmic transformation (log(1 + x)) was applied to capacity and heat input to compress extreme right-skewness, followed by Z-score standardization (μ = 0, σ = 1) so Euclidean distances weight all four features equally. Candidate cluster counts k ∈ {2, 3, 4, 5, 6, 7} were evaluated via Within-Cluster Sum of Squares (WCSS Elbow method) and average Silhouette coefficient, with 2D Principal Component Analysis (PCA) verifying orthogonal variance capture.</w:t>
      </w:r>
    </w:p>
    <w:p>
      <w:pPr>
        <w:keepNext/>
        <w:spacing w:before="240" w:after="120"/>
        <w:jc w:val="left"/>
      </w:pPr>
      <w:r>
        <w:rPr>
          <w:rFonts w:ascii="Times New Roman" w:hAnsi="Times New Roman"/>
          <w:b/>
          <w:color w:val="19375F"/>
          <w:sz w:val="24"/>
        </w:rPr>
        <w:t>Minimum Sample Size Computation and Statistical Power Analysis</w:t>
      </w:r>
    </w:p>
    <w:p>
      <w:pPr>
        <w:spacing w:after="120" w:line="276" w:lineRule="auto"/>
        <w:jc w:val="left"/>
      </w:pPr>
      <w:r>
        <w:rPr>
          <w:rFonts w:ascii="Times New Roman" w:hAnsi="Times New Roman"/>
          <w:i w:val="0"/>
          <w:sz w:val="22"/>
        </w:rPr>
        <w:t>A critical methodological requirement of the Final Report is to provide formal minimum sample size computations and statistical power analyses justifying the volume of data collected and allocated across models. Following Cohen (1988) and Cochran (1977), a priori minimum sample size bounds were calculated for a significance threshold of α = 0.05 and desired statistical power of 1 - β = 0.80 (80%):</w:t>
      </w:r>
    </w:p>
    <w:p>
      <w:pPr>
        <w:spacing w:after="80" w:line="276" w:lineRule="auto"/>
        <w:jc w:val="left"/>
      </w:pPr>
      <w:r>
        <w:rPr>
          <w:rFonts w:ascii="Times New Roman" w:hAnsi="Times New Roman"/>
          <w:i w:val="0"/>
          <w:sz w:val="22"/>
        </w:rPr>
        <w:t>1. One-Way ANOVA (RQ1): For k = 5 fuel groups, detecting a medium effect size (Cohen's f = 0.25, corresponding to η² ≈ 0.0588) at α = 0.05 and 80% power requires a minimum total sample of N_min = 196 observations (~40 per group; minimum 159–180 under standard approximations). Our analyzed population of N = 4,050 units exceeds this minimum requirement by more than 20-fold, providing &gt;99.99% statistical power.</w:t>
      </w:r>
    </w:p>
    <w:p>
      <w:pPr>
        <w:spacing w:after="80" w:line="276" w:lineRule="auto"/>
        <w:jc w:val="left"/>
      </w:pPr>
      <w:r>
        <w:rPr>
          <w:rFonts w:ascii="Times New Roman" w:hAnsi="Times New Roman"/>
          <w:i w:val="0"/>
          <w:sz w:val="22"/>
        </w:rPr>
        <w:t>2. Supervised Binary Classification (RQ2): According to Peduzzi et al. (1996) and events-per-variable (EPV) machine learning standards, reliable parameter estimation with p = 18 predictor degrees of freedom requires at least 10 to 20 minority-class events per predictor (180 to 360 positive high-emitter cases), which at a 25.14% positive class prevalence translates to a minimum sample size of N_min = 716 to 1,432 total units. Our dataset provides 1,018 positive high emitters across N = 4,050 total units—allocating 3,240 records (814 high emitters) to the training set and 810 records (204 high emitters, 606 low emitters) to the holdout test set—exceeding the minimum threshold by 3× to 13×.</w:t>
      </w:r>
    </w:p>
    <w:p>
      <w:pPr>
        <w:spacing w:after="80" w:line="276" w:lineRule="auto"/>
        <w:jc w:val="left"/>
      </w:pPr>
      <w:r>
        <w:rPr>
          <w:rFonts w:ascii="Times New Roman" w:hAnsi="Times New Roman"/>
          <w:i w:val="0"/>
          <w:sz w:val="22"/>
        </w:rPr>
        <w:t>3. Multiple Linear Regression (RQ3): Using Green's (1991) and Cohen's (1988) power formulas for OLS regression (N &gt;= 50 + 8m for omnibus R² and N &gt;= 104 + m for individual β t-tests, or N = 300–800 to detect small-to-medium correlation effects r ≈ 0.10–0.20 at 80% power), the minimum required sample for m = 3 predictors is N_min = 782 observations. Utilizing all N = 4,050 units (df = 4,046) exceeds this bound by &gt;5-fold.</w:t>
      </w:r>
    </w:p>
    <w:p>
      <w:pPr>
        <w:spacing w:after="120" w:line="276" w:lineRule="auto"/>
        <w:jc w:val="left"/>
      </w:pPr>
      <w:r>
        <w:rPr>
          <w:rFonts w:ascii="Times New Roman" w:hAnsi="Times New Roman"/>
          <w:i w:val="0"/>
          <w:sz w:val="22"/>
        </w:rPr>
        <w:t>4. Unsupervised Clustering &amp; PCA (RQ4): Multivariate clustering heuristics (Formann, 1984; Dolnicar, 2002) stipulate a minimum sample of N_min &gt;= 5 × 2^d to 10 × d × k (at least 160 to 300 observations for d = 4 features and k = 4 clusters). Executing K-Means and PCA on all N = 4,050 units exceeds the minimum threshold by &gt;13-fold. Table 5 details the exact record allocation across all analytical models.</w:t>
      </w:r>
    </w:p>
    <w:p>
      <w:pPr>
        <w:keepNext/>
        <w:spacing w:before="240" w:after="40"/>
      </w:pPr>
      <w:r>
        <w:rPr>
          <w:rFonts w:ascii="Times New Roman" w:hAnsi="Times New Roman"/>
          <w:b/>
          <w:sz w:val="22"/>
        </w:rPr>
        <w:t>Table 5</w:t>
      </w:r>
    </w:p>
    <w:p>
      <w:pPr>
        <w:keepNext/>
        <w:spacing w:before="0" w:after="120"/>
      </w:pPr>
      <w:r>
        <w:rPr>
          <w:rFonts w:ascii="Times New Roman" w:hAnsi="Times New Roman"/>
          <w:i/>
          <w:sz w:val="22"/>
        </w:rPr>
        <w:t>Analytical Model Record Allocation and Sample Size Justification</w:t>
      </w:r>
    </w:p>
    <w:tbl>
      <w:tblPr>
        <w:tblW w:type="auto" w:w="0"/>
        <w:tblLook w:firstColumn="1" w:firstRow="1" w:lastColumn="0" w:lastRow="0" w:noHBand="0" w:noVBand="1" w:val="04A0"/>
        <w:jc w:val="center"/>
        <w:tblBorders>
          <w:top w:val="single" w:sz="12" w:space="0" w:color="000000"/>
          <w:bottom w:val="single" w:sz="12" w:space="0" w:color="000000"/>
          <w:insideH w:val="single" w:sz="4" w:space="0" w:color="E5E5E5"/>
          <w:insideV w:val="none"/>
          <w:left w:val="none"/>
          <w:right w:val="none"/>
        </w:tblBorders>
      </w:tblPr>
      <w:tblGrid>
        <w:gridCol w:w="1337"/>
        <w:gridCol w:w="1337"/>
        <w:gridCol w:w="1337"/>
        <w:gridCol w:w="1337"/>
        <w:gridCol w:w="1337"/>
        <w:gridCol w:w="1337"/>
        <w:gridCol w:w="1337"/>
      </w:tblGrid>
      <w:tr>
        <w:trPr>
          <w:tblHeader/>
        </w:trPr>
        <w:tc>
          <w:tcPr>
            <w:tcW w:type="dxa" w:w="1584"/>
            <w:tcBorders>
              <w:bottom w:val="single" w:sz="12" w:space="0" w:color="000000"/>
            </w:tcBorders>
            <w:shd w:fill="F4F6F8"/>
          </w:tcPr>
          <w:p>
            <w:pPr>
              <w:spacing w:before="60" w:after="60" w:line="240" w:lineRule="auto"/>
              <w:jc w:val="center"/>
            </w:pPr>
            <w:r>
              <w:rPr>
                <w:rFonts w:ascii="Times New Roman" w:hAnsi="Times New Roman"/>
                <w:b/>
                <w:sz w:val="19"/>
              </w:rPr>
              <w:t>Research Question</w:t>
            </w:r>
          </w:p>
        </w:tc>
        <w:tc>
          <w:tcPr>
            <w:tcW w:type="dxa" w:w="1584"/>
            <w:tcBorders>
              <w:bottom w:val="single" w:sz="12" w:space="0" w:color="000000"/>
            </w:tcBorders>
            <w:shd w:fill="F4F6F8"/>
          </w:tcPr>
          <w:p>
            <w:pPr>
              <w:spacing w:before="60" w:after="60" w:line="240" w:lineRule="auto"/>
              <w:jc w:val="center"/>
            </w:pPr>
            <w:r>
              <w:rPr>
                <w:rFonts w:ascii="Times New Roman" w:hAnsi="Times New Roman"/>
                <w:b/>
                <w:sz w:val="19"/>
              </w:rPr>
              <w:t>Analytical Models</w:t>
            </w:r>
          </w:p>
        </w:tc>
        <w:tc>
          <w:tcPr>
            <w:tcW w:type="dxa" w:w="1152"/>
            <w:tcBorders>
              <w:bottom w:val="single" w:sz="12" w:space="0" w:color="000000"/>
            </w:tcBorders>
            <w:shd w:fill="F4F6F8"/>
          </w:tcPr>
          <w:p>
            <w:pPr>
              <w:spacing w:before="60" w:after="60" w:line="240" w:lineRule="auto"/>
              <w:jc w:val="center"/>
            </w:pPr>
            <w:r>
              <w:rPr>
                <w:rFonts w:ascii="Times New Roman" w:hAnsi="Times New Roman"/>
                <w:b/>
                <w:sz w:val="19"/>
              </w:rPr>
              <w:t>Total Records</w:t>
            </w:r>
          </w:p>
        </w:tc>
        <w:tc>
          <w:tcPr>
            <w:tcW w:type="dxa" w:w="1296"/>
            <w:tcBorders>
              <w:bottom w:val="single" w:sz="12" w:space="0" w:color="000000"/>
            </w:tcBorders>
            <w:shd w:fill="F4F6F8"/>
          </w:tcPr>
          <w:p>
            <w:pPr>
              <w:spacing w:before="60" w:after="60" w:line="240" w:lineRule="auto"/>
              <w:jc w:val="center"/>
            </w:pPr>
            <w:r>
              <w:rPr>
                <w:rFonts w:ascii="Times New Roman" w:hAnsi="Times New Roman"/>
                <w:b/>
                <w:sz w:val="19"/>
              </w:rPr>
              <w:t>Training Set</w:t>
            </w:r>
          </w:p>
        </w:tc>
        <w:tc>
          <w:tcPr>
            <w:tcW w:type="dxa" w:w="1584"/>
            <w:tcBorders>
              <w:bottom w:val="single" w:sz="12" w:space="0" w:color="000000"/>
            </w:tcBorders>
            <w:shd w:fill="F4F6F8"/>
          </w:tcPr>
          <w:p>
            <w:pPr>
              <w:spacing w:before="60" w:after="60" w:line="240" w:lineRule="auto"/>
              <w:jc w:val="center"/>
            </w:pPr>
            <w:r>
              <w:rPr>
                <w:rFonts w:ascii="Times New Roman" w:hAnsi="Times New Roman"/>
                <w:b/>
                <w:sz w:val="19"/>
              </w:rPr>
              <w:t>Validation / Holdout</w:t>
            </w:r>
          </w:p>
        </w:tc>
        <w:tc>
          <w:tcPr>
            <w:tcW w:type="dxa" w:w="1440"/>
            <w:tcBorders>
              <w:bottom w:val="single" w:sz="12" w:space="0" w:color="000000"/>
            </w:tcBorders>
            <w:shd w:fill="F4F6F8"/>
          </w:tcPr>
          <w:p>
            <w:pPr>
              <w:spacing w:before="60" w:after="60" w:line="240" w:lineRule="auto"/>
              <w:jc w:val="center"/>
            </w:pPr>
            <w:r>
              <w:rPr>
                <w:rFonts w:ascii="Times New Roman" w:hAnsi="Times New Roman"/>
                <w:b/>
                <w:sz w:val="19"/>
              </w:rPr>
              <w:t>Minimum Sample Needed</w:t>
            </w:r>
          </w:p>
        </w:tc>
        <w:tc>
          <w:tcPr>
            <w:tcW w:type="dxa" w:w="1440"/>
            <w:tcBorders>
              <w:bottom w:val="single" w:sz="12" w:space="0" w:color="000000"/>
            </w:tcBorders>
            <w:shd w:fill="F4F6F8"/>
          </w:tcPr>
          <w:p>
            <w:pPr>
              <w:spacing w:before="60" w:after="60" w:line="240" w:lineRule="auto"/>
              <w:jc w:val="center"/>
            </w:pPr>
            <w:r>
              <w:rPr>
                <w:rFonts w:ascii="Times New Roman" w:hAnsi="Times New Roman"/>
                <w:b/>
                <w:sz w:val="19"/>
              </w:rPr>
              <w:t>Power &amp; Adequacy Assessment</w:t>
            </w:r>
          </w:p>
        </w:tc>
      </w:tr>
      <w:tr>
        <w:tc>
          <w:tcPr>
            <w:tcW w:type="dxa" w:w="1584"/>
          </w:tcPr>
          <w:p>
            <w:pPr>
              <w:spacing w:before="40" w:after="40" w:line="252" w:lineRule="auto"/>
              <w:jc w:val="left"/>
            </w:pPr>
            <w:r>
              <w:rPr>
                <w:rFonts w:ascii="Times New Roman" w:hAnsi="Times New Roman"/>
                <w:sz w:val="18"/>
              </w:rPr>
              <w:t>RQ1: Fuel Variance Analysis</w:t>
            </w:r>
          </w:p>
        </w:tc>
        <w:tc>
          <w:tcPr>
            <w:tcW w:type="dxa" w:w="1584"/>
          </w:tcPr>
          <w:p>
            <w:pPr>
              <w:spacing w:before="40" w:after="40" w:line="252" w:lineRule="auto"/>
              <w:jc w:val="left"/>
            </w:pPr>
            <w:r>
              <w:rPr>
                <w:rFonts w:ascii="Times New Roman" w:hAnsi="Times New Roman"/>
                <w:sz w:val="18"/>
              </w:rPr>
              <w:t>One-Way ANOVA, Kruskal-Wallis, Tukey HSD</w:t>
            </w:r>
          </w:p>
        </w:tc>
        <w:tc>
          <w:tcPr>
            <w:tcW w:type="dxa" w:w="1152"/>
          </w:tcPr>
          <w:p>
            <w:pPr>
              <w:spacing w:before="40" w:after="40" w:line="252" w:lineRule="auto"/>
              <w:jc w:val="left"/>
            </w:pPr>
            <w:r>
              <w:rPr>
                <w:rFonts w:ascii="Times New Roman" w:hAnsi="Times New Roman"/>
                <w:sz w:val="18"/>
              </w:rPr>
              <w:t>4,050 records (100%)</w:t>
            </w:r>
          </w:p>
        </w:tc>
        <w:tc>
          <w:tcPr>
            <w:tcW w:type="dxa" w:w="1296"/>
          </w:tcPr>
          <w:p>
            <w:pPr>
              <w:spacing w:before="40" w:after="40" w:line="252" w:lineRule="auto"/>
              <w:jc w:val="left"/>
            </w:pPr>
            <w:r>
              <w:rPr>
                <w:rFonts w:ascii="Times New Roman" w:hAnsi="Times New Roman"/>
                <w:sz w:val="18"/>
              </w:rPr>
              <w:t>4,050 records (Full population)</w:t>
            </w:r>
          </w:p>
        </w:tc>
        <w:tc>
          <w:tcPr>
            <w:tcW w:type="dxa" w:w="1584"/>
          </w:tcPr>
          <w:p>
            <w:pPr>
              <w:spacing w:before="40" w:after="40" w:line="252" w:lineRule="auto"/>
              <w:jc w:val="left"/>
            </w:pPr>
            <w:r>
              <w:rPr>
                <w:rFonts w:ascii="Times New Roman" w:hAnsi="Times New Roman"/>
                <w:sz w:val="18"/>
              </w:rPr>
              <w:t>N/A (Omnibus &amp; post-hoc inference, df = 4, 4045)</w:t>
            </w:r>
          </w:p>
        </w:tc>
        <w:tc>
          <w:tcPr>
            <w:tcW w:type="dxa" w:w="1440"/>
          </w:tcPr>
          <w:p>
            <w:pPr>
              <w:spacing w:before="40" w:after="40" w:line="252" w:lineRule="auto"/>
              <w:jc w:val="left"/>
            </w:pPr>
            <w:r>
              <w:rPr>
                <w:rFonts w:ascii="Times New Roman" w:hAnsi="Times New Roman"/>
                <w:sz w:val="18"/>
              </w:rPr>
              <w:t>159–196 units (f = 0.25, α = 0.05, power = 80%)</w:t>
            </w:r>
          </w:p>
        </w:tc>
        <w:tc>
          <w:tcPr>
            <w:tcW w:type="dxa" w:w="1440"/>
          </w:tcPr>
          <w:p>
            <w:pPr>
              <w:spacing w:before="40" w:after="40" w:line="252" w:lineRule="auto"/>
              <w:jc w:val="left"/>
            </w:pPr>
            <w:r>
              <w:rPr>
                <w:rFonts w:ascii="Times New Roman" w:hAnsi="Times New Roman"/>
                <w:sz w:val="18"/>
              </w:rPr>
              <w:t>Exceeds minimum by &gt;20×; achieves &gt;99.9% statistical power.</w:t>
            </w:r>
          </w:p>
        </w:tc>
      </w:tr>
      <w:tr>
        <w:tc>
          <w:tcPr>
            <w:tcW w:type="dxa" w:w="1584"/>
            <w:shd w:fill="FAFAFA"/>
          </w:tcPr>
          <w:p>
            <w:pPr>
              <w:spacing w:before="40" w:after="40" w:line="252" w:lineRule="auto"/>
              <w:jc w:val="left"/>
            </w:pPr>
            <w:r>
              <w:rPr>
                <w:rFonts w:ascii="Times New Roman" w:hAnsi="Times New Roman"/>
                <w:sz w:val="18"/>
              </w:rPr>
              <w:t>RQ2: High-Emitter Classification</w:t>
            </w:r>
          </w:p>
        </w:tc>
        <w:tc>
          <w:tcPr>
            <w:tcW w:type="dxa" w:w="1584"/>
            <w:shd w:fill="FAFAFA"/>
          </w:tcPr>
          <w:p>
            <w:pPr>
              <w:spacing w:before="40" w:after="40" w:line="252" w:lineRule="auto"/>
              <w:jc w:val="left"/>
            </w:pPr>
            <w:r>
              <w:rPr>
                <w:rFonts w:ascii="Times New Roman" w:hAnsi="Times New Roman"/>
                <w:sz w:val="18"/>
              </w:rPr>
              <w:t>Logistic Regression, Random Forest, Gradient Boosting</w:t>
            </w:r>
          </w:p>
        </w:tc>
        <w:tc>
          <w:tcPr>
            <w:tcW w:type="dxa" w:w="1152"/>
            <w:shd w:fill="FAFAFA"/>
          </w:tcPr>
          <w:p>
            <w:pPr>
              <w:spacing w:before="40" w:after="40" w:line="252" w:lineRule="auto"/>
              <w:jc w:val="left"/>
            </w:pPr>
            <w:r>
              <w:rPr>
                <w:rFonts w:ascii="Times New Roman" w:hAnsi="Times New Roman"/>
                <w:sz w:val="18"/>
              </w:rPr>
              <w:t>4,050 records (100%)</w:t>
            </w:r>
          </w:p>
        </w:tc>
        <w:tc>
          <w:tcPr>
            <w:tcW w:type="dxa" w:w="1296"/>
            <w:shd w:fill="FAFAFA"/>
          </w:tcPr>
          <w:p>
            <w:pPr>
              <w:spacing w:before="40" w:after="40" w:line="252" w:lineRule="auto"/>
              <w:jc w:val="left"/>
            </w:pPr>
            <w:r>
              <w:rPr>
                <w:rFonts w:ascii="Times New Roman" w:hAnsi="Times New Roman"/>
                <w:sz w:val="18"/>
              </w:rPr>
              <w:t>3,240 records (80% stratified; 5-fold CV)</w:t>
            </w:r>
          </w:p>
        </w:tc>
        <w:tc>
          <w:tcPr>
            <w:tcW w:type="dxa" w:w="1584"/>
            <w:shd w:fill="FAFAFA"/>
          </w:tcPr>
          <w:p>
            <w:pPr>
              <w:spacing w:before="40" w:after="40" w:line="252" w:lineRule="auto"/>
              <w:jc w:val="left"/>
            </w:pPr>
            <w:r>
              <w:rPr>
                <w:rFonts w:ascii="Times New Roman" w:hAnsi="Times New Roman"/>
                <w:sz w:val="18"/>
              </w:rPr>
              <w:t>810 records (20% holdout: 204 High / 606 Low)</w:t>
            </w:r>
          </w:p>
        </w:tc>
        <w:tc>
          <w:tcPr>
            <w:tcW w:type="dxa" w:w="1440"/>
            <w:shd w:fill="FAFAFA"/>
          </w:tcPr>
          <w:p>
            <w:pPr>
              <w:spacing w:before="40" w:after="40" w:line="252" w:lineRule="auto"/>
              <w:jc w:val="left"/>
            </w:pPr>
            <w:r>
              <w:rPr>
                <w:rFonts w:ascii="Times New Roman" w:hAnsi="Times New Roman"/>
                <w:sz w:val="18"/>
              </w:rPr>
              <w:t>716–1,432 units (10–20 EPV across predictors)</w:t>
            </w:r>
          </w:p>
        </w:tc>
        <w:tc>
          <w:tcPr>
            <w:tcW w:type="dxa" w:w="1440"/>
            <w:shd w:fill="FAFAFA"/>
          </w:tcPr>
          <w:p>
            <w:pPr>
              <w:spacing w:before="40" w:after="40" w:line="252" w:lineRule="auto"/>
              <w:jc w:val="left"/>
            </w:pPr>
            <w:r>
              <w:rPr>
                <w:rFonts w:ascii="Times New Roman" w:hAnsi="Times New Roman"/>
                <w:sz w:val="18"/>
              </w:rPr>
              <w:t>Exceeds minimum by 3×–13×; zero data leakage between splits.</w:t>
            </w:r>
          </w:p>
        </w:tc>
      </w:tr>
      <w:tr>
        <w:tc>
          <w:tcPr>
            <w:tcW w:type="dxa" w:w="1584"/>
          </w:tcPr>
          <w:p>
            <w:pPr>
              <w:spacing w:before="40" w:after="40" w:line="252" w:lineRule="auto"/>
              <w:jc w:val="left"/>
            </w:pPr>
            <w:r>
              <w:rPr>
                <w:rFonts w:ascii="Times New Roman" w:hAnsi="Times New Roman"/>
                <w:sz w:val="18"/>
              </w:rPr>
              <w:t>RQ3: Vintage &amp; Scale Econometrics</w:t>
            </w:r>
          </w:p>
        </w:tc>
        <w:tc>
          <w:tcPr>
            <w:tcW w:type="dxa" w:w="1584"/>
          </w:tcPr>
          <w:p>
            <w:pPr>
              <w:spacing w:before="40" w:after="40" w:line="252" w:lineRule="auto"/>
              <w:jc w:val="left"/>
            </w:pPr>
            <w:r>
              <w:rPr>
                <w:rFonts w:ascii="Times New Roman" w:hAnsi="Times New Roman"/>
                <w:sz w:val="18"/>
              </w:rPr>
              <w:t>Bivariate &amp; Multivariate OLS Regressions</w:t>
            </w:r>
          </w:p>
        </w:tc>
        <w:tc>
          <w:tcPr>
            <w:tcW w:type="dxa" w:w="1152"/>
          </w:tcPr>
          <w:p>
            <w:pPr>
              <w:spacing w:before="40" w:after="40" w:line="252" w:lineRule="auto"/>
              <w:jc w:val="left"/>
            </w:pPr>
            <w:r>
              <w:rPr>
                <w:rFonts w:ascii="Times New Roman" w:hAnsi="Times New Roman"/>
                <w:sz w:val="18"/>
              </w:rPr>
              <w:t>4,050 records (100%)</w:t>
            </w:r>
          </w:p>
        </w:tc>
        <w:tc>
          <w:tcPr>
            <w:tcW w:type="dxa" w:w="1296"/>
          </w:tcPr>
          <w:p>
            <w:pPr>
              <w:spacing w:before="40" w:after="40" w:line="252" w:lineRule="auto"/>
              <w:jc w:val="left"/>
            </w:pPr>
            <w:r>
              <w:rPr>
                <w:rFonts w:ascii="Times New Roman" w:hAnsi="Times New Roman"/>
                <w:sz w:val="18"/>
              </w:rPr>
              <w:t>4,050 records (Full population)</w:t>
            </w:r>
          </w:p>
        </w:tc>
        <w:tc>
          <w:tcPr>
            <w:tcW w:type="dxa" w:w="1584"/>
          </w:tcPr>
          <w:p>
            <w:pPr>
              <w:spacing w:before="40" w:after="40" w:line="252" w:lineRule="auto"/>
              <w:jc w:val="left"/>
            </w:pPr>
            <w:r>
              <w:rPr>
                <w:rFonts w:ascii="Times New Roman" w:hAnsi="Times New Roman"/>
                <w:sz w:val="18"/>
              </w:rPr>
              <w:t>N/A (Parametric inference, df = 4,046)</w:t>
            </w:r>
          </w:p>
        </w:tc>
        <w:tc>
          <w:tcPr>
            <w:tcW w:type="dxa" w:w="1440"/>
          </w:tcPr>
          <w:p>
            <w:pPr>
              <w:spacing w:before="40" w:after="40" w:line="252" w:lineRule="auto"/>
              <w:jc w:val="left"/>
            </w:pPr>
            <w:r>
              <w:rPr>
                <w:rFonts w:ascii="Times New Roman" w:hAnsi="Times New Roman"/>
                <w:sz w:val="18"/>
              </w:rPr>
              <w:t>300–782 units (Small effect r = 0.10, power = 80%)</w:t>
            </w:r>
          </w:p>
        </w:tc>
        <w:tc>
          <w:tcPr>
            <w:tcW w:type="dxa" w:w="1440"/>
          </w:tcPr>
          <w:p>
            <w:pPr>
              <w:spacing w:before="40" w:after="40" w:line="252" w:lineRule="auto"/>
              <w:jc w:val="left"/>
            </w:pPr>
            <w:r>
              <w:rPr>
                <w:rFonts w:ascii="Times New Roman" w:hAnsi="Times New Roman"/>
                <w:sz w:val="18"/>
              </w:rPr>
              <w:t>Exceeds minimum by &gt;5×; yields highly precise standard errors.</w:t>
            </w:r>
          </w:p>
        </w:tc>
      </w:tr>
      <w:tr>
        <w:tc>
          <w:tcPr>
            <w:tcW w:type="dxa" w:w="1584"/>
            <w:shd w:fill="FAFAFA"/>
          </w:tcPr>
          <w:p>
            <w:pPr>
              <w:spacing w:before="40" w:after="40" w:line="252" w:lineRule="auto"/>
              <w:jc w:val="left"/>
            </w:pPr>
            <w:r>
              <w:rPr>
                <w:rFonts w:ascii="Times New Roman" w:hAnsi="Times New Roman"/>
                <w:sz w:val="18"/>
              </w:rPr>
              <w:t>RQ4: Unsupervised Segmentation</w:t>
            </w:r>
          </w:p>
        </w:tc>
        <w:tc>
          <w:tcPr>
            <w:tcW w:type="dxa" w:w="1584"/>
            <w:shd w:fill="FAFAFA"/>
          </w:tcPr>
          <w:p>
            <w:pPr>
              <w:spacing w:before="40" w:after="40" w:line="252" w:lineRule="auto"/>
              <w:jc w:val="left"/>
            </w:pPr>
            <w:r>
              <w:rPr>
                <w:rFonts w:ascii="Times New Roman" w:hAnsi="Times New Roman"/>
                <w:sz w:val="18"/>
              </w:rPr>
              <w:t>K-Means Clustering (k = 4) &amp; 2D PCA</w:t>
            </w:r>
          </w:p>
        </w:tc>
        <w:tc>
          <w:tcPr>
            <w:tcW w:type="dxa" w:w="1152"/>
            <w:shd w:fill="FAFAFA"/>
          </w:tcPr>
          <w:p>
            <w:pPr>
              <w:spacing w:before="40" w:after="40" w:line="252" w:lineRule="auto"/>
              <w:jc w:val="left"/>
            </w:pPr>
            <w:r>
              <w:rPr>
                <w:rFonts w:ascii="Times New Roman" w:hAnsi="Times New Roman"/>
                <w:sz w:val="18"/>
              </w:rPr>
              <w:t>4,050 records (100%)</w:t>
            </w:r>
          </w:p>
        </w:tc>
        <w:tc>
          <w:tcPr>
            <w:tcW w:type="dxa" w:w="1296"/>
            <w:shd w:fill="FAFAFA"/>
          </w:tcPr>
          <w:p>
            <w:pPr>
              <w:spacing w:before="40" w:after="40" w:line="252" w:lineRule="auto"/>
              <w:jc w:val="left"/>
            </w:pPr>
            <w:r>
              <w:rPr>
                <w:rFonts w:ascii="Times New Roman" w:hAnsi="Times New Roman"/>
                <w:sz w:val="18"/>
              </w:rPr>
              <w:t>4,050 records (Full population)</w:t>
            </w:r>
          </w:p>
        </w:tc>
        <w:tc>
          <w:tcPr>
            <w:tcW w:type="dxa" w:w="1584"/>
            <w:shd w:fill="FAFAFA"/>
          </w:tcPr>
          <w:p>
            <w:pPr>
              <w:spacing w:before="40" w:after="40" w:line="252" w:lineRule="auto"/>
              <w:jc w:val="left"/>
            </w:pPr>
            <w:r>
              <w:rPr>
                <w:rFonts w:ascii="Times New Roman" w:hAnsi="Times New Roman"/>
                <w:sz w:val="18"/>
              </w:rPr>
              <w:t>Internal validation (WCSS &amp; Silhouette across k = 2..7)</w:t>
            </w:r>
          </w:p>
        </w:tc>
        <w:tc>
          <w:tcPr>
            <w:tcW w:type="dxa" w:w="1440"/>
            <w:shd w:fill="FAFAFA"/>
          </w:tcPr>
          <w:p>
            <w:pPr>
              <w:spacing w:before="40" w:after="40" w:line="252" w:lineRule="auto"/>
              <w:jc w:val="left"/>
            </w:pPr>
            <w:r>
              <w:rPr>
                <w:rFonts w:ascii="Times New Roman" w:hAnsi="Times New Roman"/>
                <w:sz w:val="18"/>
              </w:rPr>
              <w:t>160–300 units (5×2^d and &gt;=10× feature rules)</w:t>
            </w:r>
          </w:p>
        </w:tc>
        <w:tc>
          <w:tcPr>
            <w:tcW w:type="dxa" w:w="1440"/>
            <w:shd w:fill="FAFAFA"/>
          </w:tcPr>
          <w:p>
            <w:pPr>
              <w:spacing w:before="40" w:after="40" w:line="252" w:lineRule="auto"/>
              <w:jc w:val="left"/>
            </w:pPr>
            <w:r>
              <w:rPr>
                <w:rFonts w:ascii="Times New Roman" w:hAnsi="Times New Roman"/>
                <w:sz w:val="18"/>
              </w:rPr>
              <w:t>Exceeds minimum by &gt;13×; highly stable centroid convergence.</w:t>
            </w:r>
          </w:p>
        </w:tc>
      </w:tr>
    </w:tbl>
    <w:p>
      <w:pPr>
        <w:spacing w:before="60" w:after="240"/>
      </w:pPr>
      <w:r>
        <w:rPr>
          <w:rFonts w:ascii="Times New Roman" w:hAnsi="Times New Roman"/>
          <w:i/>
          <w:sz w:val="18"/>
        </w:rPr>
        <w:t xml:space="preserve">Note. </w:t>
      </w:r>
      <w:r>
        <w:rPr>
          <w:rFonts w:ascii="Times New Roman" w:hAnsi="Times New Roman"/>
          <w:sz w:val="18"/>
        </w:rPr>
        <w:t>Complete record allocation across all statistical and machine learning models confirming 100% data retention (N = 4,050) and statistical power.</w:t>
      </w:r>
    </w:p>
    <w:p>
      <w:pPr>
        <w:keepNext/>
        <w:spacing w:before="240" w:after="120"/>
        <w:jc w:val="left"/>
      </w:pPr>
      <w:r>
        <w:rPr>
          <w:rFonts w:ascii="Times New Roman" w:hAnsi="Times New Roman"/>
          <w:b/>
          <w:color w:val="19375F"/>
          <w:sz w:val="24"/>
        </w:rPr>
        <w:t>Original Work, Data Splitting, Feature Engineering, and Evaluation Formulations</w:t>
      </w:r>
    </w:p>
    <w:p>
      <w:pPr>
        <w:spacing w:after="120" w:line="276" w:lineRule="auto"/>
        <w:jc w:val="left"/>
      </w:pPr>
      <w:r>
        <w:rPr>
          <w:rFonts w:ascii="Times New Roman" w:hAnsi="Times New Roman"/>
          <w:i w:val="0"/>
          <w:sz w:val="22"/>
        </w:rPr>
        <w:t>All data parsing, feature engineering, statistical testing, and machine learning training represent original work developed specifically for this capstone project (full source code provided in Appendices A and B). To prevent data leakage during supervised learning (RQ2), the 4,050-unit dataset was partitioned prior to scaling using stratified random sampling (random_state = 42) into an 80% training set (N = 3,240 units: 814 high emitters [25.12%] and 2,426 low emitters [74.88%]) and an independent 20% holdout test set (N = 810 units: 204 high emitters [25.19%] and 606 low emitters [74.81%]). Crucially, the StandardScaler parameters (mean and variance) were fitted exclusively on the 3,240 training observations and applied via transform() to the 810 test observations. Within the 3,240-unit training set, 5-fold Stratified Cross-Validation (648 validation units per fold) was executed to benchmark out-of-fold F1 stability prior to final evaluation on the 810-unit holdout set. Table 6 specifies the engineered feature set, and Table 7 defines the mathematical evaluation metrics.</w:t>
      </w:r>
    </w:p>
    <w:p>
      <w:pPr>
        <w:keepNext/>
        <w:spacing w:before="240" w:after="40"/>
      </w:pPr>
      <w:r>
        <w:rPr>
          <w:rFonts w:ascii="Times New Roman" w:hAnsi="Times New Roman"/>
          <w:b/>
          <w:sz w:val="22"/>
        </w:rPr>
        <w:t>Table 6</w:t>
      </w:r>
    </w:p>
    <w:p>
      <w:pPr>
        <w:keepNext/>
        <w:spacing w:before="0" w:after="120"/>
      </w:pPr>
      <w:r>
        <w:rPr>
          <w:rFonts w:ascii="Times New Roman" w:hAnsi="Times New Roman"/>
          <w:i/>
          <w:sz w:val="22"/>
        </w:rPr>
        <w:t>Feature Set and Usage Specification</w:t>
      </w:r>
    </w:p>
    <w:tbl>
      <w:tblPr>
        <w:tblW w:type="auto" w:w="0"/>
        <w:tblLook w:firstColumn="1" w:firstRow="1" w:lastColumn="0" w:lastRow="0" w:noHBand="0" w:noVBand="1" w:val="04A0"/>
        <w:jc w:val="center"/>
        <w:tblBorders>
          <w:top w:val="single" w:sz="12" w:space="0" w:color="000000"/>
          <w:bottom w:val="single" w:sz="12" w:space="0" w:color="000000"/>
          <w:insideH w:val="single" w:sz="4" w:space="0" w:color="E5E5E5"/>
          <w:insideV w:val="none"/>
          <w:left w:val="none"/>
          <w:right w:val="none"/>
        </w:tblBorders>
      </w:tblPr>
      <w:tblGrid>
        <w:gridCol w:w="1872"/>
        <w:gridCol w:w="1872"/>
        <w:gridCol w:w="1872"/>
        <w:gridCol w:w="1872"/>
        <w:gridCol w:w="1872"/>
      </w:tblGrid>
      <w:tr>
        <w:trPr>
          <w:tblHeader/>
        </w:trPr>
        <w:tc>
          <w:tcPr>
            <w:tcW w:type="dxa" w:w="1728"/>
            <w:tcBorders>
              <w:bottom w:val="single" w:sz="12" w:space="0" w:color="000000"/>
            </w:tcBorders>
            <w:shd w:fill="F4F6F8"/>
          </w:tcPr>
          <w:p>
            <w:pPr>
              <w:spacing w:before="60" w:after="60" w:line="240" w:lineRule="auto"/>
              <w:jc w:val="center"/>
            </w:pPr>
            <w:r>
              <w:rPr>
                <w:rFonts w:ascii="Times New Roman" w:hAnsi="Times New Roman"/>
                <w:b/>
                <w:sz w:val="19"/>
              </w:rPr>
              <w:t>Feature Name</w:t>
            </w:r>
          </w:p>
        </w:tc>
        <w:tc>
          <w:tcPr>
            <w:tcW w:type="dxa" w:w="2016"/>
            <w:tcBorders>
              <w:bottom w:val="single" w:sz="12" w:space="0" w:color="000000"/>
            </w:tcBorders>
            <w:shd w:fill="F4F6F8"/>
          </w:tcPr>
          <w:p>
            <w:pPr>
              <w:spacing w:before="60" w:after="60" w:line="240" w:lineRule="auto"/>
              <w:jc w:val="center"/>
            </w:pPr>
            <w:r>
              <w:rPr>
                <w:rFonts w:ascii="Times New Roman" w:hAnsi="Times New Roman"/>
                <w:b/>
                <w:sz w:val="19"/>
              </w:rPr>
              <w:t>Original / Engineered</w:t>
            </w:r>
          </w:p>
        </w:tc>
        <w:tc>
          <w:tcPr>
            <w:tcW w:type="dxa" w:w="1584"/>
            <w:tcBorders>
              <w:bottom w:val="single" w:sz="12" w:space="0" w:color="000000"/>
            </w:tcBorders>
            <w:shd w:fill="F4F6F8"/>
          </w:tcPr>
          <w:p>
            <w:pPr>
              <w:spacing w:before="60" w:after="60" w:line="240" w:lineRule="auto"/>
              <w:jc w:val="center"/>
            </w:pPr>
            <w:r>
              <w:rPr>
                <w:rFonts w:ascii="Times New Roman" w:hAnsi="Times New Roman"/>
                <w:b/>
                <w:sz w:val="19"/>
              </w:rPr>
              <w:t>Data Type</w:t>
            </w:r>
          </w:p>
        </w:tc>
        <w:tc>
          <w:tcPr>
            <w:tcW w:type="dxa" w:w="2592"/>
            <w:tcBorders>
              <w:bottom w:val="single" w:sz="12" w:space="0" w:color="000000"/>
            </w:tcBorders>
            <w:shd w:fill="F4F6F8"/>
          </w:tcPr>
          <w:p>
            <w:pPr>
              <w:spacing w:before="60" w:after="60" w:line="240" w:lineRule="auto"/>
              <w:jc w:val="center"/>
            </w:pPr>
            <w:r>
              <w:rPr>
                <w:rFonts w:ascii="Times New Roman" w:hAnsi="Times New Roman"/>
                <w:b/>
                <w:sz w:val="19"/>
              </w:rPr>
              <w:t>Analytical Inclusion Rationale</w:t>
            </w:r>
          </w:p>
        </w:tc>
        <w:tc>
          <w:tcPr>
            <w:tcW w:type="dxa" w:w="2160"/>
            <w:tcBorders>
              <w:bottom w:val="single" w:sz="12" w:space="0" w:color="000000"/>
            </w:tcBorders>
            <w:shd w:fill="F4F6F8"/>
          </w:tcPr>
          <w:p>
            <w:pPr>
              <w:spacing w:before="60" w:after="60" w:line="240" w:lineRule="auto"/>
              <w:jc w:val="center"/>
            </w:pPr>
            <w:r>
              <w:rPr>
                <w:rFonts w:ascii="Times New Roman" w:hAnsi="Times New Roman"/>
                <w:b/>
                <w:sz w:val="19"/>
              </w:rPr>
              <w:t>Models Utilizing Feature</w:t>
            </w:r>
          </w:p>
        </w:tc>
      </w:tr>
      <w:tr>
        <w:tc>
          <w:tcPr>
            <w:tcW w:type="dxa" w:w="1728"/>
          </w:tcPr>
          <w:p>
            <w:pPr>
              <w:spacing w:before="40" w:after="40" w:line="252" w:lineRule="auto"/>
              <w:jc w:val="left"/>
            </w:pPr>
            <w:r>
              <w:rPr>
                <w:rFonts w:ascii="Times New Roman" w:hAnsi="Times New Roman"/>
                <w:sz w:val="18"/>
              </w:rPr>
              <w:t>Capacity_MW</w:t>
            </w:r>
          </w:p>
        </w:tc>
        <w:tc>
          <w:tcPr>
            <w:tcW w:type="dxa" w:w="2016"/>
          </w:tcPr>
          <w:p>
            <w:pPr>
              <w:spacing w:before="40" w:after="40" w:line="252" w:lineRule="auto"/>
              <w:jc w:val="left"/>
            </w:pPr>
            <w:r>
              <w:rPr>
                <w:rFonts w:ascii="Times New Roman" w:hAnsi="Times New Roman"/>
                <w:sz w:val="18"/>
              </w:rPr>
              <w:t>Engineered (Regex parsed from generator string)</w:t>
            </w:r>
          </w:p>
        </w:tc>
        <w:tc>
          <w:tcPr>
            <w:tcW w:type="dxa" w:w="1584"/>
          </w:tcPr>
          <w:p>
            <w:pPr>
              <w:spacing w:before="40" w:after="40" w:line="252" w:lineRule="auto"/>
              <w:jc w:val="left"/>
            </w:pPr>
            <w:r>
              <w:rPr>
                <w:rFonts w:ascii="Times New Roman" w:hAnsi="Times New Roman"/>
                <w:sz w:val="18"/>
              </w:rPr>
              <w:t>Float (Continuous)</w:t>
            </w:r>
          </w:p>
        </w:tc>
        <w:tc>
          <w:tcPr>
            <w:tcW w:type="dxa" w:w="2592"/>
          </w:tcPr>
          <w:p>
            <w:pPr>
              <w:spacing w:before="40" w:after="40" w:line="252" w:lineRule="auto"/>
              <w:jc w:val="left"/>
            </w:pPr>
            <w:r>
              <w:rPr>
                <w:rFonts w:ascii="Times New Roman" w:hAnsi="Times New Roman"/>
                <w:sz w:val="18"/>
              </w:rPr>
              <w:t>Measures fundamental electrical generation scale (MWe).</w:t>
            </w:r>
          </w:p>
        </w:tc>
        <w:tc>
          <w:tcPr>
            <w:tcW w:type="dxa" w:w="2160"/>
          </w:tcPr>
          <w:p>
            <w:pPr>
              <w:spacing w:before="40" w:after="40" w:line="252" w:lineRule="auto"/>
              <w:jc w:val="left"/>
            </w:pPr>
            <w:r>
              <w:rPr>
                <w:rFonts w:ascii="Times New Roman" w:hAnsi="Times New Roman"/>
                <w:sz w:val="18"/>
              </w:rPr>
              <w:t>LR, RF, GB, OLS, K-Means, PCA</w:t>
            </w:r>
          </w:p>
        </w:tc>
      </w:tr>
      <w:tr>
        <w:tc>
          <w:tcPr>
            <w:tcW w:type="dxa" w:w="1728"/>
            <w:shd w:fill="FAFAFA"/>
          </w:tcPr>
          <w:p>
            <w:pPr>
              <w:spacing w:before="40" w:after="40" w:line="252" w:lineRule="auto"/>
              <w:jc w:val="left"/>
            </w:pPr>
            <w:r>
              <w:rPr>
                <w:rFonts w:ascii="Times New Roman" w:hAnsi="Times New Roman"/>
                <w:sz w:val="18"/>
              </w:rPr>
              <w:t>Unit_Age</w:t>
            </w:r>
          </w:p>
        </w:tc>
        <w:tc>
          <w:tcPr>
            <w:tcW w:type="dxa" w:w="2016"/>
            <w:shd w:fill="FAFAFA"/>
          </w:tcPr>
          <w:p>
            <w:pPr>
              <w:spacing w:before="40" w:after="40" w:line="252" w:lineRule="auto"/>
              <w:jc w:val="left"/>
            </w:pPr>
            <w:r>
              <w:rPr>
                <w:rFonts w:ascii="Times New Roman" w:hAnsi="Times New Roman"/>
                <w:sz w:val="18"/>
              </w:rPr>
              <w:t>Engineered (2025 - Commercial Operation Year)</w:t>
            </w:r>
          </w:p>
        </w:tc>
        <w:tc>
          <w:tcPr>
            <w:tcW w:type="dxa" w:w="1584"/>
            <w:shd w:fill="FAFAFA"/>
          </w:tcPr>
          <w:p>
            <w:pPr>
              <w:spacing w:before="40" w:after="40" w:line="252" w:lineRule="auto"/>
              <w:jc w:val="left"/>
            </w:pPr>
            <w:r>
              <w:rPr>
                <w:rFonts w:ascii="Times New Roman" w:hAnsi="Times New Roman"/>
                <w:sz w:val="18"/>
              </w:rPr>
              <w:t>Float (Continuous)</w:t>
            </w:r>
          </w:p>
        </w:tc>
        <w:tc>
          <w:tcPr>
            <w:tcW w:type="dxa" w:w="2592"/>
            <w:shd w:fill="FAFAFA"/>
          </w:tcPr>
          <w:p>
            <w:pPr>
              <w:spacing w:before="40" w:after="40" w:line="252" w:lineRule="auto"/>
              <w:jc w:val="left"/>
            </w:pPr>
            <w:r>
              <w:rPr>
                <w:rFonts w:ascii="Times New Roman" w:hAnsi="Times New Roman"/>
                <w:sz w:val="18"/>
              </w:rPr>
              <w:t>Captures boiler vintage, NSPS grandfathering, and lifecycle stage.</w:t>
            </w:r>
          </w:p>
        </w:tc>
        <w:tc>
          <w:tcPr>
            <w:tcW w:type="dxa" w:w="2160"/>
            <w:shd w:fill="FAFAFA"/>
          </w:tcPr>
          <w:p>
            <w:pPr>
              <w:spacing w:before="40" w:after="40" w:line="252" w:lineRule="auto"/>
              <w:jc w:val="left"/>
            </w:pPr>
            <w:r>
              <w:rPr>
                <w:rFonts w:ascii="Times New Roman" w:hAnsi="Times New Roman"/>
                <w:sz w:val="18"/>
              </w:rPr>
              <w:t>LR, RF, GB, OLS, K-Means, PCA</w:t>
            </w:r>
          </w:p>
        </w:tc>
      </w:tr>
      <w:tr>
        <w:tc>
          <w:tcPr>
            <w:tcW w:type="dxa" w:w="1728"/>
          </w:tcPr>
          <w:p>
            <w:pPr>
              <w:spacing w:before="40" w:after="40" w:line="252" w:lineRule="auto"/>
              <w:jc w:val="left"/>
            </w:pPr>
            <w:r>
              <w:rPr>
                <w:rFonts w:ascii="Times New Roman" w:hAnsi="Times New Roman"/>
                <w:sz w:val="18"/>
              </w:rPr>
              <w:t>Control_Count</w:t>
            </w:r>
          </w:p>
        </w:tc>
        <w:tc>
          <w:tcPr>
            <w:tcW w:type="dxa" w:w="2016"/>
          </w:tcPr>
          <w:p>
            <w:pPr>
              <w:spacing w:before="40" w:after="40" w:line="252" w:lineRule="auto"/>
              <w:jc w:val="left"/>
            </w:pPr>
            <w:r>
              <w:rPr>
                <w:rFonts w:ascii="Times New Roman" w:hAnsi="Times New Roman"/>
                <w:sz w:val="18"/>
              </w:rPr>
              <w:t>Engineered (Sum of SO2, NOx, PM, Hg flags)</w:t>
            </w:r>
          </w:p>
        </w:tc>
        <w:tc>
          <w:tcPr>
            <w:tcW w:type="dxa" w:w="1584"/>
          </w:tcPr>
          <w:p>
            <w:pPr>
              <w:spacing w:before="40" w:after="40" w:line="252" w:lineRule="auto"/>
              <w:jc w:val="left"/>
            </w:pPr>
            <w:r>
              <w:rPr>
                <w:rFonts w:ascii="Times New Roman" w:hAnsi="Times New Roman"/>
                <w:sz w:val="18"/>
              </w:rPr>
              <w:t>Integer (0 to 4)</w:t>
            </w:r>
          </w:p>
        </w:tc>
        <w:tc>
          <w:tcPr>
            <w:tcW w:type="dxa" w:w="2592"/>
          </w:tcPr>
          <w:p>
            <w:pPr>
              <w:spacing w:before="40" w:after="40" w:line="252" w:lineRule="auto"/>
              <w:jc w:val="left"/>
            </w:pPr>
            <w:r>
              <w:rPr>
                <w:rFonts w:ascii="Times New Roman" w:hAnsi="Times New Roman"/>
                <w:sz w:val="18"/>
              </w:rPr>
              <w:t>Quantifies cumulative multi-pollutant abatement hardware density.</w:t>
            </w:r>
          </w:p>
        </w:tc>
        <w:tc>
          <w:tcPr>
            <w:tcW w:type="dxa" w:w="2160"/>
          </w:tcPr>
          <w:p>
            <w:pPr>
              <w:spacing w:before="40" w:after="40" w:line="252" w:lineRule="auto"/>
              <w:jc w:val="left"/>
            </w:pPr>
            <w:r>
              <w:rPr>
                <w:rFonts w:ascii="Times New Roman" w:hAnsi="Times New Roman"/>
                <w:sz w:val="18"/>
              </w:rPr>
              <w:t>LR, RF, GB, OLS, K-Means, PCA</w:t>
            </w:r>
          </w:p>
        </w:tc>
      </w:tr>
      <w:tr>
        <w:tc>
          <w:tcPr>
            <w:tcW w:type="dxa" w:w="1728"/>
            <w:shd w:fill="FAFAFA"/>
          </w:tcPr>
          <w:p>
            <w:pPr>
              <w:spacing w:before="40" w:after="40" w:line="252" w:lineRule="auto"/>
              <w:jc w:val="left"/>
            </w:pPr>
            <w:r>
              <w:rPr>
                <w:rFonts w:ascii="Times New Roman" w:hAnsi="Times New Roman"/>
                <w:sz w:val="18"/>
              </w:rPr>
              <w:t>Heat_Input_Rate</w:t>
            </w:r>
          </w:p>
        </w:tc>
        <w:tc>
          <w:tcPr>
            <w:tcW w:type="dxa" w:w="2016"/>
            <w:shd w:fill="FAFAFA"/>
          </w:tcPr>
          <w:p>
            <w:pPr>
              <w:spacing w:before="40" w:after="40" w:line="252" w:lineRule="auto"/>
              <w:jc w:val="left"/>
            </w:pPr>
            <w:r>
              <w:rPr>
                <w:rFonts w:ascii="Times New Roman" w:hAnsi="Times New Roman"/>
                <w:sz w:val="18"/>
              </w:rPr>
              <w:t>Standardized (Max Hourly HI Rate, mmBtu/hr)</w:t>
            </w:r>
          </w:p>
        </w:tc>
        <w:tc>
          <w:tcPr>
            <w:tcW w:type="dxa" w:w="1584"/>
            <w:shd w:fill="FAFAFA"/>
          </w:tcPr>
          <w:p>
            <w:pPr>
              <w:spacing w:before="40" w:after="40" w:line="252" w:lineRule="auto"/>
              <w:jc w:val="left"/>
            </w:pPr>
            <w:r>
              <w:rPr>
                <w:rFonts w:ascii="Times New Roman" w:hAnsi="Times New Roman"/>
                <w:sz w:val="18"/>
              </w:rPr>
              <w:t>Float (Continuous)</w:t>
            </w:r>
          </w:p>
        </w:tc>
        <w:tc>
          <w:tcPr>
            <w:tcW w:type="dxa" w:w="2592"/>
            <w:shd w:fill="FAFAFA"/>
          </w:tcPr>
          <w:p>
            <w:pPr>
              <w:spacing w:before="40" w:after="40" w:line="252" w:lineRule="auto"/>
              <w:jc w:val="left"/>
            </w:pPr>
            <w:r>
              <w:rPr>
                <w:rFonts w:ascii="Times New Roman" w:hAnsi="Times New Roman"/>
                <w:sz w:val="18"/>
              </w:rPr>
              <w:t>Direct physical measure of maximum hourly thermal combustion load.</w:t>
            </w:r>
          </w:p>
        </w:tc>
        <w:tc>
          <w:tcPr>
            <w:tcW w:type="dxa" w:w="2160"/>
            <w:shd w:fill="FAFAFA"/>
          </w:tcPr>
          <w:p>
            <w:pPr>
              <w:spacing w:before="40" w:after="40" w:line="252" w:lineRule="auto"/>
              <w:jc w:val="left"/>
            </w:pPr>
            <w:r>
              <w:rPr>
                <w:rFonts w:ascii="Times New Roman" w:hAnsi="Times New Roman"/>
                <w:sz w:val="18"/>
              </w:rPr>
              <w:t>Target Y in RQ1 &amp; RQ3; Feature in RQ4</w:t>
            </w:r>
          </w:p>
        </w:tc>
      </w:tr>
      <w:tr>
        <w:tc>
          <w:tcPr>
            <w:tcW w:type="dxa" w:w="1728"/>
          </w:tcPr>
          <w:p>
            <w:pPr>
              <w:spacing w:before="40" w:after="40" w:line="252" w:lineRule="auto"/>
              <w:jc w:val="left"/>
            </w:pPr>
            <w:r>
              <w:rPr>
                <w:rFonts w:ascii="Times New Roman" w:hAnsi="Times New Roman"/>
                <w:sz w:val="18"/>
              </w:rPr>
              <w:t>Fuel_Category</w:t>
            </w:r>
          </w:p>
        </w:tc>
        <w:tc>
          <w:tcPr>
            <w:tcW w:type="dxa" w:w="2016"/>
          </w:tcPr>
          <w:p>
            <w:pPr>
              <w:spacing w:before="40" w:after="40" w:line="252" w:lineRule="auto"/>
              <w:jc w:val="left"/>
            </w:pPr>
            <w:r>
              <w:rPr>
                <w:rFonts w:ascii="Times New Roman" w:hAnsi="Times New Roman"/>
                <w:sz w:val="18"/>
              </w:rPr>
              <w:t>Engineered (Consolidated from 12 fuel codes)</w:t>
            </w:r>
          </w:p>
        </w:tc>
        <w:tc>
          <w:tcPr>
            <w:tcW w:type="dxa" w:w="1584"/>
          </w:tcPr>
          <w:p>
            <w:pPr>
              <w:spacing w:before="40" w:after="40" w:line="252" w:lineRule="auto"/>
              <w:jc w:val="left"/>
            </w:pPr>
            <w:r>
              <w:rPr>
                <w:rFonts w:ascii="Times New Roman" w:hAnsi="Times New Roman"/>
                <w:sz w:val="18"/>
              </w:rPr>
              <w:t>Categorical (5 classes)</w:t>
            </w:r>
          </w:p>
        </w:tc>
        <w:tc>
          <w:tcPr>
            <w:tcW w:type="dxa" w:w="2592"/>
          </w:tcPr>
          <w:p>
            <w:pPr>
              <w:spacing w:before="40" w:after="40" w:line="252" w:lineRule="auto"/>
              <w:jc w:val="left"/>
            </w:pPr>
            <w:r>
              <w:rPr>
                <w:rFonts w:ascii="Times New Roman" w:hAnsi="Times New Roman"/>
                <w:sz w:val="18"/>
              </w:rPr>
              <w:t>Captures fuel combustion stoichiometry and emission intensity.</w:t>
            </w:r>
          </w:p>
        </w:tc>
        <w:tc>
          <w:tcPr>
            <w:tcW w:type="dxa" w:w="2160"/>
          </w:tcPr>
          <w:p>
            <w:pPr>
              <w:spacing w:before="40" w:after="40" w:line="252" w:lineRule="auto"/>
              <w:jc w:val="left"/>
            </w:pPr>
            <w:r>
              <w:rPr>
                <w:rFonts w:ascii="Times New Roman" w:hAnsi="Times New Roman"/>
                <w:sz w:val="18"/>
              </w:rPr>
              <w:t>ANOVA, KW, LR, RF, GB</w:t>
            </w:r>
          </w:p>
        </w:tc>
      </w:tr>
      <w:tr>
        <w:tc>
          <w:tcPr>
            <w:tcW w:type="dxa" w:w="1728"/>
            <w:shd w:fill="FAFAFA"/>
          </w:tcPr>
          <w:p>
            <w:pPr>
              <w:spacing w:before="40" w:after="40" w:line="252" w:lineRule="auto"/>
              <w:jc w:val="left"/>
            </w:pPr>
            <w:r>
              <w:rPr>
                <w:rFonts w:ascii="Times New Roman" w:hAnsi="Times New Roman"/>
                <w:sz w:val="18"/>
              </w:rPr>
              <w:t>Unit_Type_Category</w:t>
            </w:r>
          </w:p>
        </w:tc>
        <w:tc>
          <w:tcPr>
            <w:tcW w:type="dxa" w:w="2016"/>
            <w:shd w:fill="FAFAFA"/>
          </w:tcPr>
          <w:p>
            <w:pPr>
              <w:spacing w:before="40" w:after="40" w:line="252" w:lineRule="auto"/>
              <w:jc w:val="left"/>
            </w:pPr>
            <w:r>
              <w:rPr>
                <w:rFonts w:ascii="Times New Roman" w:hAnsi="Times New Roman"/>
                <w:sz w:val="18"/>
              </w:rPr>
              <w:t>Engineered (Consolidated from 33 unit codes)</w:t>
            </w:r>
          </w:p>
        </w:tc>
        <w:tc>
          <w:tcPr>
            <w:tcW w:type="dxa" w:w="1584"/>
            <w:shd w:fill="FAFAFA"/>
          </w:tcPr>
          <w:p>
            <w:pPr>
              <w:spacing w:before="40" w:after="40" w:line="252" w:lineRule="auto"/>
              <w:jc w:val="left"/>
            </w:pPr>
            <w:r>
              <w:rPr>
                <w:rFonts w:ascii="Times New Roman" w:hAnsi="Times New Roman"/>
                <w:sz w:val="18"/>
              </w:rPr>
              <w:t>Categorical (5 classes)</w:t>
            </w:r>
          </w:p>
        </w:tc>
        <w:tc>
          <w:tcPr>
            <w:tcW w:type="dxa" w:w="2592"/>
            <w:shd w:fill="FAFAFA"/>
          </w:tcPr>
          <w:p>
            <w:pPr>
              <w:spacing w:before="40" w:after="40" w:line="252" w:lineRule="auto"/>
              <w:jc w:val="left"/>
            </w:pPr>
            <w:r>
              <w:rPr>
                <w:rFonts w:ascii="Times New Roman" w:hAnsi="Times New Roman"/>
                <w:sz w:val="18"/>
              </w:rPr>
              <w:t>Distinguishes Brayton turbines from Rankine steam boilers.</w:t>
            </w:r>
          </w:p>
        </w:tc>
        <w:tc>
          <w:tcPr>
            <w:tcW w:type="dxa" w:w="2160"/>
            <w:shd w:fill="FAFAFA"/>
          </w:tcPr>
          <w:p>
            <w:pPr>
              <w:spacing w:before="40" w:after="40" w:line="252" w:lineRule="auto"/>
              <w:jc w:val="left"/>
            </w:pPr>
            <w:r>
              <w:rPr>
                <w:rFonts w:ascii="Times New Roman" w:hAnsi="Times New Roman"/>
                <w:sz w:val="18"/>
              </w:rPr>
              <w:t>LR, RF, GB</w:t>
            </w:r>
          </w:p>
        </w:tc>
      </w:tr>
      <w:tr>
        <w:tc>
          <w:tcPr>
            <w:tcW w:type="dxa" w:w="1728"/>
          </w:tcPr>
          <w:p>
            <w:pPr>
              <w:spacing w:before="40" w:after="40" w:line="252" w:lineRule="auto"/>
              <w:jc w:val="left"/>
            </w:pPr>
            <w:r>
              <w:rPr>
                <w:rFonts w:ascii="Times New Roman" w:hAnsi="Times New Roman"/>
                <w:sz w:val="18"/>
              </w:rPr>
              <w:t>EPA Region</w:t>
            </w:r>
          </w:p>
        </w:tc>
        <w:tc>
          <w:tcPr>
            <w:tcW w:type="dxa" w:w="2016"/>
          </w:tcPr>
          <w:p>
            <w:pPr>
              <w:spacing w:before="40" w:after="40" w:line="252" w:lineRule="auto"/>
              <w:jc w:val="left"/>
            </w:pPr>
            <w:r>
              <w:rPr>
                <w:rFonts w:ascii="Times New Roman" w:hAnsi="Times New Roman"/>
                <w:sz w:val="18"/>
              </w:rPr>
              <w:t>Original CAMPD administrative attribute</w:t>
            </w:r>
          </w:p>
        </w:tc>
        <w:tc>
          <w:tcPr>
            <w:tcW w:type="dxa" w:w="1584"/>
          </w:tcPr>
          <w:p>
            <w:pPr>
              <w:spacing w:before="40" w:after="40" w:line="252" w:lineRule="auto"/>
              <w:jc w:val="left"/>
            </w:pPr>
            <w:r>
              <w:rPr>
                <w:rFonts w:ascii="Times New Roman" w:hAnsi="Times New Roman"/>
                <w:sz w:val="18"/>
              </w:rPr>
              <w:t>Categorical (Regions 1–10)</w:t>
            </w:r>
          </w:p>
        </w:tc>
        <w:tc>
          <w:tcPr>
            <w:tcW w:type="dxa" w:w="2592"/>
          </w:tcPr>
          <w:p>
            <w:pPr>
              <w:spacing w:before="40" w:after="40" w:line="252" w:lineRule="auto"/>
              <w:jc w:val="left"/>
            </w:pPr>
            <w:r>
              <w:rPr>
                <w:rFonts w:ascii="Times New Roman" w:hAnsi="Times New Roman"/>
                <w:sz w:val="18"/>
              </w:rPr>
              <w:t>Controls for regional grid dispatch and EPA enforcement office.</w:t>
            </w:r>
          </w:p>
        </w:tc>
        <w:tc>
          <w:tcPr>
            <w:tcW w:type="dxa" w:w="2160"/>
          </w:tcPr>
          <w:p>
            <w:pPr>
              <w:spacing w:before="40" w:after="40" w:line="252" w:lineRule="auto"/>
              <w:jc w:val="left"/>
            </w:pPr>
            <w:r>
              <w:rPr>
                <w:rFonts w:ascii="Times New Roman" w:hAnsi="Times New Roman"/>
                <w:sz w:val="18"/>
              </w:rPr>
              <w:t>LR, RF, GB</w:t>
            </w:r>
          </w:p>
        </w:tc>
      </w:tr>
      <w:tr>
        <w:tc>
          <w:tcPr>
            <w:tcW w:type="dxa" w:w="1728"/>
            <w:shd w:fill="FAFAFA"/>
          </w:tcPr>
          <w:p>
            <w:pPr>
              <w:spacing w:before="40" w:after="40" w:line="252" w:lineRule="auto"/>
              <w:jc w:val="left"/>
            </w:pPr>
            <w:r>
              <w:rPr>
                <w:rFonts w:ascii="Times New Roman" w:hAnsi="Times New Roman"/>
                <w:sz w:val="18"/>
              </w:rPr>
              <w:t>Log_Capacity</w:t>
            </w:r>
          </w:p>
        </w:tc>
        <w:tc>
          <w:tcPr>
            <w:tcW w:type="dxa" w:w="2016"/>
            <w:shd w:fill="FAFAFA"/>
          </w:tcPr>
          <w:p>
            <w:pPr>
              <w:spacing w:before="40" w:after="40" w:line="252" w:lineRule="auto"/>
              <w:jc w:val="left"/>
            </w:pPr>
            <w:r>
              <w:rPr>
                <w:rFonts w:ascii="Times New Roman" w:hAnsi="Times New Roman"/>
                <w:sz w:val="18"/>
              </w:rPr>
              <w:t>Engineered (log(1 + Capacity_MW))</w:t>
            </w:r>
          </w:p>
        </w:tc>
        <w:tc>
          <w:tcPr>
            <w:tcW w:type="dxa" w:w="1584"/>
            <w:shd w:fill="FAFAFA"/>
          </w:tcPr>
          <w:p>
            <w:pPr>
              <w:spacing w:before="40" w:after="40" w:line="252" w:lineRule="auto"/>
              <w:jc w:val="left"/>
            </w:pPr>
            <w:r>
              <w:rPr>
                <w:rFonts w:ascii="Times New Roman" w:hAnsi="Times New Roman"/>
                <w:sz w:val="18"/>
              </w:rPr>
              <w:t>Float (Continuous)</w:t>
            </w:r>
          </w:p>
        </w:tc>
        <w:tc>
          <w:tcPr>
            <w:tcW w:type="dxa" w:w="2592"/>
            <w:shd w:fill="FAFAFA"/>
          </w:tcPr>
          <w:p>
            <w:pPr>
              <w:spacing w:before="40" w:after="40" w:line="252" w:lineRule="auto"/>
              <w:jc w:val="left"/>
            </w:pPr>
            <w:r>
              <w:rPr>
                <w:rFonts w:ascii="Times New Roman" w:hAnsi="Times New Roman"/>
                <w:sz w:val="18"/>
              </w:rPr>
              <w:t>Normalizes heavy-tailed megawatt distribution for Euclidean clustering.</w:t>
            </w:r>
          </w:p>
        </w:tc>
        <w:tc>
          <w:tcPr>
            <w:tcW w:type="dxa" w:w="2160"/>
            <w:shd w:fill="FAFAFA"/>
          </w:tcPr>
          <w:p>
            <w:pPr>
              <w:spacing w:before="40" w:after="40" w:line="252" w:lineRule="auto"/>
              <w:jc w:val="left"/>
            </w:pPr>
            <w:r>
              <w:rPr>
                <w:rFonts w:ascii="Times New Roman" w:hAnsi="Times New Roman"/>
                <w:sz w:val="18"/>
              </w:rPr>
              <w:t>K-Means, PCA</w:t>
            </w:r>
          </w:p>
        </w:tc>
      </w:tr>
      <w:tr>
        <w:tc>
          <w:tcPr>
            <w:tcW w:type="dxa" w:w="1728"/>
          </w:tcPr>
          <w:p>
            <w:pPr>
              <w:spacing w:before="40" w:after="40" w:line="252" w:lineRule="auto"/>
              <w:jc w:val="left"/>
            </w:pPr>
            <w:r>
              <w:rPr>
                <w:rFonts w:ascii="Times New Roman" w:hAnsi="Times New Roman"/>
                <w:sz w:val="18"/>
              </w:rPr>
              <w:t>Log_Heat_Input</w:t>
            </w:r>
          </w:p>
        </w:tc>
        <w:tc>
          <w:tcPr>
            <w:tcW w:type="dxa" w:w="2016"/>
          </w:tcPr>
          <w:p>
            <w:pPr>
              <w:spacing w:before="40" w:after="40" w:line="252" w:lineRule="auto"/>
              <w:jc w:val="left"/>
            </w:pPr>
            <w:r>
              <w:rPr>
                <w:rFonts w:ascii="Times New Roman" w:hAnsi="Times New Roman"/>
                <w:sz w:val="18"/>
              </w:rPr>
              <w:t>Engineered (log(1 + Heat_Input_Rate))</w:t>
            </w:r>
          </w:p>
        </w:tc>
        <w:tc>
          <w:tcPr>
            <w:tcW w:type="dxa" w:w="1584"/>
          </w:tcPr>
          <w:p>
            <w:pPr>
              <w:spacing w:before="40" w:after="40" w:line="252" w:lineRule="auto"/>
              <w:jc w:val="left"/>
            </w:pPr>
            <w:r>
              <w:rPr>
                <w:rFonts w:ascii="Times New Roman" w:hAnsi="Times New Roman"/>
                <w:sz w:val="18"/>
              </w:rPr>
              <w:t>Float (Continuous)</w:t>
            </w:r>
          </w:p>
        </w:tc>
        <w:tc>
          <w:tcPr>
            <w:tcW w:type="dxa" w:w="2592"/>
          </w:tcPr>
          <w:p>
            <w:pPr>
              <w:spacing w:before="40" w:after="40" w:line="252" w:lineRule="auto"/>
              <w:jc w:val="left"/>
            </w:pPr>
            <w:r>
              <w:rPr>
                <w:rFonts w:ascii="Times New Roman" w:hAnsi="Times New Roman"/>
                <w:sz w:val="18"/>
              </w:rPr>
              <w:t>Stabilizes variance across peaking vs baseload thermal scales.</w:t>
            </w:r>
          </w:p>
        </w:tc>
        <w:tc>
          <w:tcPr>
            <w:tcW w:type="dxa" w:w="2160"/>
          </w:tcPr>
          <w:p>
            <w:pPr>
              <w:spacing w:before="40" w:after="40" w:line="252" w:lineRule="auto"/>
              <w:jc w:val="left"/>
            </w:pPr>
            <w:r>
              <w:rPr>
                <w:rFonts w:ascii="Times New Roman" w:hAnsi="Times New Roman"/>
                <w:sz w:val="18"/>
              </w:rPr>
              <w:t>K-Means, PCA</w:t>
            </w:r>
          </w:p>
        </w:tc>
      </w:tr>
      <w:tr>
        <w:tc>
          <w:tcPr>
            <w:tcW w:type="dxa" w:w="1728"/>
            <w:shd w:fill="FAFAFA"/>
          </w:tcPr>
          <w:p>
            <w:pPr>
              <w:spacing w:before="40" w:after="40" w:line="252" w:lineRule="auto"/>
              <w:jc w:val="left"/>
            </w:pPr>
            <w:r>
              <w:rPr>
                <w:rFonts w:ascii="Times New Roman" w:hAnsi="Times New Roman"/>
                <w:sz w:val="18"/>
              </w:rPr>
              <w:t>High_Emitter</w:t>
            </w:r>
          </w:p>
        </w:tc>
        <w:tc>
          <w:tcPr>
            <w:tcW w:type="dxa" w:w="2016"/>
            <w:shd w:fill="FAFAFA"/>
          </w:tcPr>
          <w:p>
            <w:pPr>
              <w:spacing w:before="40" w:after="40" w:line="252" w:lineRule="auto"/>
              <w:jc w:val="left"/>
            </w:pPr>
            <w:r>
              <w:rPr>
                <w:rFonts w:ascii="Times New Roman" w:hAnsi="Times New Roman"/>
                <w:sz w:val="18"/>
              </w:rPr>
              <w:t>Engineered (1 if HI &gt;= 2,350.0 mmBtu/hr else 0)</w:t>
            </w:r>
          </w:p>
        </w:tc>
        <w:tc>
          <w:tcPr>
            <w:tcW w:type="dxa" w:w="1584"/>
            <w:shd w:fill="FAFAFA"/>
          </w:tcPr>
          <w:p>
            <w:pPr>
              <w:spacing w:before="40" w:after="40" w:line="252" w:lineRule="auto"/>
              <w:jc w:val="left"/>
            </w:pPr>
            <w:r>
              <w:rPr>
                <w:rFonts w:ascii="Times New Roman" w:hAnsi="Times New Roman"/>
                <w:sz w:val="18"/>
              </w:rPr>
              <w:t>Binary Target (0, 1)</w:t>
            </w:r>
          </w:p>
        </w:tc>
        <w:tc>
          <w:tcPr>
            <w:tcW w:type="dxa" w:w="2592"/>
            <w:shd w:fill="FAFAFA"/>
          </w:tcPr>
          <w:p>
            <w:pPr>
              <w:spacing w:before="40" w:after="40" w:line="252" w:lineRule="auto"/>
              <w:jc w:val="left"/>
            </w:pPr>
            <w:r>
              <w:rPr>
                <w:rFonts w:ascii="Times New Roman" w:hAnsi="Times New Roman"/>
                <w:sz w:val="18"/>
              </w:rPr>
              <w:t>Identifies top-quartile high-emission units for audit prioritization.</w:t>
            </w:r>
          </w:p>
        </w:tc>
        <w:tc>
          <w:tcPr>
            <w:tcW w:type="dxa" w:w="2160"/>
            <w:shd w:fill="FAFAFA"/>
          </w:tcPr>
          <w:p>
            <w:pPr>
              <w:spacing w:before="40" w:after="40" w:line="252" w:lineRule="auto"/>
              <w:jc w:val="left"/>
            </w:pPr>
            <w:r>
              <w:rPr>
                <w:rFonts w:ascii="Times New Roman" w:hAnsi="Times New Roman"/>
                <w:sz w:val="18"/>
              </w:rPr>
              <w:t>Target Y in RQ2 (LR, RF, GB)</w:t>
            </w:r>
          </w:p>
        </w:tc>
      </w:tr>
    </w:tbl>
    <w:p>
      <w:pPr>
        <w:spacing w:before="60" w:after="240"/>
      </w:pPr>
      <w:r>
        <w:rPr>
          <w:rFonts w:ascii="Times New Roman" w:hAnsi="Times New Roman"/>
          <w:i/>
          <w:sz w:val="18"/>
        </w:rPr>
        <w:t xml:space="preserve">Note. </w:t>
      </w:r>
      <w:r>
        <w:rPr>
          <w:rFonts w:ascii="Times New Roman" w:hAnsi="Times New Roman"/>
          <w:sz w:val="18"/>
        </w:rPr>
        <w:t>Specification of raw and engineered features, mathematical transformations, and model mapping.</w:t>
      </w:r>
    </w:p>
    <w:p>
      <w:pPr>
        <w:keepNext/>
        <w:spacing w:before="240" w:after="40"/>
      </w:pPr>
      <w:r>
        <w:rPr>
          <w:rFonts w:ascii="Times New Roman" w:hAnsi="Times New Roman"/>
          <w:b/>
          <w:sz w:val="22"/>
        </w:rPr>
        <w:t>Table 7</w:t>
      </w:r>
    </w:p>
    <w:p>
      <w:pPr>
        <w:keepNext/>
        <w:spacing w:before="0" w:after="120"/>
      </w:pPr>
      <w:r>
        <w:rPr>
          <w:rFonts w:ascii="Times New Roman" w:hAnsi="Times New Roman"/>
          <w:i/>
          <w:sz w:val="22"/>
        </w:rPr>
        <w:t>Evaluation Metrics and Mathematical Formulations</w:t>
      </w:r>
    </w:p>
    <w:tbl>
      <w:tblPr>
        <w:tblW w:type="auto" w:w="0"/>
        <w:tblLook w:firstColumn="1" w:firstRow="1" w:lastColumn="0" w:lastRow="0" w:noHBand="0" w:noVBand="1" w:val="04A0"/>
        <w:jc w:val="center"/>
        <w:tblBorders>
          <w:top w:val="single" w:sz="12" w:space="0" w:color="000000"/>
          <w:bottom w:val="single" w:sz="12" w:space="0" w:color="000000"/>
          <w:insideH w:val="single" w:sz="4" w:space="0" w:color="E5E5E5"/>
          <w:insideV w:val="none"/>
          <w:left w:val="none"/>
          <w:right w:val="none"/>
        </w:tblBorders>
      </w:tblPr>
      <w:tblGrid>
        <w:gridCol w:w="2340"/>
        <w:gridCol w:w="2340"/>
        <w:gridCol w:w="2340"/>
        <w:gridCol w:w="2340"/>
      </w:tblGrid>
      <w:tr>
        <w:trPr>
          <w:tblHeader/>
        </w:trPr>
        <w:tc>
          <w:tcPr>
            <w:tcW w:type="dxa" w:w="2160"/>
            <w:tcBorders>
              <w:bottom w:val="single" w:sz="12" w:space="0" w:color="000000"/>
            </w:tcBorders>
            <w:shd w:fill="F4F6F8"/>
          </w:tcPr>
          <w:p>
            <w:pPr>
              <w:spacing w:before="60" w:after="60" w:line="240" w:lineRule="auto"/>
              <w:jc w:val="center"/>
            </w:pPr>
            <w:r>
              <w:rPr>
                <w:rFonts w:ascii="Times New Roman" w:hAnsi="Times New Roman"/>
                <w:b/>
                <w:sz w:val="19"/>
              </w:rPr>
              <w:t>Evaluation Metric</w:t>
            </w:r>
          </w:p>
        </w:tc>
        <w:tc>
          <w:tcPr>
            <w:tcW w:type="dxa" w:w="3168"/>
            <w:tcBorders>
              <w:bottom w:val="single" w:sz="12" w:space="0" w:color="000000"/>
            </w:tcBorders>
            <w:shd w:fill="F4F6F8"/>
          </w:tcPr>
          <w:p>
            <w:pPr>
              <w:spacing w:before="60" w:after="60" w:line="240" w:lineRule="auto"/>
              <w:jc w:val="center"/>
            </w:pPr>
            <w:r>
              <w:rPr>
                <w:rFonts w:ascii="Times New Roman" w:hAnsi="Times New Roman"/>
                <w:b/>
                <w:sz w:val="19"/>
              </w:rPr>
              <w:t>Mathematical Formula</w:t>
            </w:r>
          </w:p>
        </w:tc>
        <w:tc>
          <w:tcPr>
            <w:tcW w:type="dxa" w:w="2592"/>
            <w:tcBorders>
              <w:bottom w:val="single" w:sz="12" w:space="0" w:color="000000"/>
            </w:tcBorders>
            <w:shd w:fill="F4F6F8"/>
          </w:tcPr>
          <w:p>
            <w:pPr>
              <w:spacing w:before="60" w:after="60" w:line="240" w:lineRule="auto"/>
              <w:jc w:val="center"/>
            </w:pPr>
            <w:r>
              <w:rPr>
                <w:rFonts w:ascii="Times New Roman" w:hAnsi="Times New Roman"/>
                <w:b/>
                <w:sz w:val="19"/>
              </w:rPr>
              <w:t>Statistical Interpretation</w:t>
            </w:r>
          </w:p>
        </w:tc>
        <w:tc>
          <w:tcPr>
            <w:tcW w:type="dxa" w:w="2160"/>
            <w:tcBorders>
              <w:bottom w:val="single" w:sz="12" w:space="0" w:color="000000"/>
            </w:tcBorders>
            <w:shd w:fill="F4F6F8"/>
          </w:tcPr>
          <w:p>
            <w:pPr>
              <w:spacing w:before="60" w:after="60" w:line="240" w:lineRule="auto"/>
              <w:jc w:val="center"/>
            </w:pPr>
            <w:r>
              <w:rPr>
                <w:rFonts w:ascii="Times New Roman" w:hAnsi="Times New Roman"/>
                <w:b/>
                <w:sz w:val="19"/>
              </w:rPr>
              <w:t>Capstone Application</w:t>
            </w:r>
          </w:p>
        </w:tc>
      </w:tr>
      <w:tr>
        <w:tc>
          <w:tcPr>
            <w:tcW w:type="dxa" w:w="2160"/>
          </w:tcPr>
          <w:p>
            <w:pPr>
              <w:spacing w:before="40" w:after="40" w:line="252" w:lineRule="auto"/>
              <w:jc w:val="left"/>
            </w:pPr>
            <w:r>
              <w:rPr>
                <w:rFonts w:ascii="Times New Roman" w:hAnsi="Times New Roman"/>
                <w:sz w:val="18"/>
              </w:rPr>
              <w:t>One-Way ANOVA F-Statistic</w:t>
            </w:r>
          </w:p>
        </w:tc>
        <w:tc>
          <w:tcPr>
            <w:tcW w:type="dxa" w:w="3168"/>
          </w:tcPr>
          <w:p>
            <w:pPr>
              <w:spacing w:before="40" w:after="40" w:line="252" w:lineRule="auto"/>
              <w:jc w:val="left"/>
            </w:pPr>
            <w:r>
              <w:rPr>
                <w:rFonts w:ascii="Times New Roman" w:hAnsi="Times New Roman"/>
                <w:sz w:val="18"/>
              </w:rPr>
              <w:t>F = [SS_b / (k - 1)] / [SS_w / (N - k)]</w:t>
            </w:r>
          </w:p>
        </w:tc>
        <w:tc>
          <w:tcPr>
            <w:tcW w:type="dxa" w:w="2592"/>
          </w:tcPr>
          <w:p>
            <w:pPr>
              <w:spacing w:before="40" w:after="40" w:line="252" w:lineRule="auto"/>
              <w:jc w:val="left"/>
            </w:pPr>
            <w:r>
              <w:rPr>
                <w:rFonts w:ascii="Times New Roman" w:hAnsi="Times New Roman"/>
                <w:sz w:val="18"/>
              </w:rPr>
              <w:t>Ratio of between-group to within-group variance across k fuel classes.</w:t>
            </w:r>
          </w:p>
        </w:tc>
        <w:tc>
          <w:tcPr>
            <w:tcW w:type="dxa" w:w="2160"/>
          </w:tcPr>
          <w:p>
            <w:pPr>
              <w:spacing w:before="40" w:after="40" w:line="252" w:lineRule="auto"/>
              <w:jc w:val="left"/>
            </w:pPr>
            <w:r>
              <w:rPr>
                <w:rFonts w:ascii="Times New Roman" w:hAnsi="Times New Roman"/>
                <w:sz w:val="18"/>
              </w:rPr>
              <w:t>RQ1 (Parametric Fuel Test)</w:t>
            </w:r>
          </w:p>
        </w:tc>
      </w:tr>
      <w:tr>
        <w:tc>
          <w:tcPr>
            <w:tcW w:type="dxa" w:w="2160"/>
            <w:shd w:fill="FAFAFA"/>
          </w:tcPr>
          <w:p>
            <w:pPr>
              <w:spacing w:before="40" w:after="40" w:line="252" w:lineRule="auto"/>
              <w:jc w:val="left"/>
            </w:pPr>
            <w:r>
              <w:rPr>
                <w:rFonts w:ascii="Times New Roman" w:hAnsi="Times New Roman"/>
                <w:sz w:val="18"/>
              </w:rPr>
              <w:t>Eta-Squared Effect Size (η²)</w:t>
            </w:r>
          </w:p>
        </w:tc>
        <w:tc>
          <w:tcPr>
            <w:tcW w:type="dxa" w:w="3168"/>
            <w:shd w:fill="FAFAFA"/>
          </w:tcPr>
          <w:p>
            <w:pPr>
              <w:spacing w:before="40" w:after="40" w:line="252" w:lineRule="auto"/>
              <w:jc w:val="left"/>
            </w:pPr>
            <w:r>
              <w:rPr>
                <w:rFonts w:ascii="Times New Roman" w:hAnsi="Times New Roman"/>
                <w:sz w:val="18"/>
              </w:rPr>
              <w:t>η² = SS_between / SS_total</w:t>
            </w:r>
          </w:p>
        </w:tc>
        <w:tc>
          <w:tcPr>
            <w:tcW w:type="dxa" w:w="2592"/>
            <w:shd w:fill="FAFAFA"/>
          </w:tcPr>
          <w:p>
            <w:pPr>
              <w:spacing w:before="40" w:after="40" w:line="252" w:lineRule="auto"/>
              <w:jc w:val="left"/>
            </w:pPr>
            <w:r>
              <w:rPr>
                <w:rFonts w:ascii="Times New Roman" w:hAnsi="Times New Roman"/>
                <w:sz w:val="18"/>
              </w:rPr>
              <w:t>Proportion of total variance in Heat Input Rate explained by fuel category.</w:t>
            </w:r>
          </w:p>
        </w:tc>
        <w:tc>
          <w:tcPr>
            <w:tcW w:type="dxa" w:w="2160"/>
            <w:shd w:fill="FAFAFA"/>
          </w:tcPr>
          <w:p>
            <w:pPr>
              <w:spacing w:before="40" w:after="40" w:line="252" w:lineRule="auto"/>
              <w:jc w:val="left"/>
            </w:pPr>
            <w:r>
              <w:rPr>
                <w:rFonts w:ascii="Times New Roman" w:hAnsi="Times New Roman"/>
                <w:sz w:val="18"/>
              </w:rPr>
              <w:t>RQ1 (Variance Explained)</w:t>
            </w:r>
          </w:p>
        </w:tc>
      </w:tr>
      <w:tr>
        <w:tc>
          <w:tcPr>
            <w:tcW w:type="dxa" w:w="2160"/>
          </w:tcPr>
          <w:p>
            <w:pPr>
              <w:spacing w:before="40" w:after="40" w:line="252" w:lineRule="auto"/>
              <w:jc w:val="left"/>
            </w:pPr>
            <w:r>
              <w:rPr>
                <w:rFonts w:ascii="Times New Roman" w:hAnsi="Times New Roman"/>
                <w:sz w:val="18"/>
              </w:rPr>
              <w:t>Kruskal-Wallis H-Statistic</w:t>
            </w:r>
          </w:p>
        </w:tc>
        <w:tc>
          <w:tcPr>
            <w:tcW w:type="dxa" w:w="3168"/>
          </w:tcPr>
          <w:p>
            <w:pPr>
              <w:spacing w:before="40" w:after="40" w:line="252" w:lineRule="auto"/>
              <w:jc w:val="left"/>
            </w:pPr>
            <w:r>
              <w:rPr>
                <w:rFonts w:ascii="Times New Roman" w:hAnsi="Times New Roman"/>
                <w:sz w:val="18"/>
              </w:rPr>
              <w:t>H = [12 / (N(N+1))] Σ (R_j² / n_j) - 3(N + 1)</w:t>
            </w:r>
          </w:p>
        </w:tc>
        <w:tc>
          <w:tcPr>
            <w:tcW w:type="dxa" w:w="2592"/>
          </w:tcPr>
          <w:p>
            <w:pPr>
              <w:spacing w:before="40" w:after="40" w:line="252" w:lineRule="auto"/>
              <w:jc w:val="left"/>
            </w:pPr>
            <w:r>
              <w:rPr>
                <w:rFonts w:ascii="Times New Roman" w:hAnsi="Times New Roman"/>
                <w:sz w:val="18"/>
              </w:rPr>
              <w:t>Non-parametric rank-sum test of stochastic dominance across fuel groups.</w:t>
            </w:r>
          </w:p>
        </w:tc>
        <w:tc>
          <w:tcPr>
            <w:tcW w:type="dxa" w:w="2160"/>
          </w:tcPr>
          <w:p>
            <w:pPr>
              <w:spacing w:before="40" w:after="40" w:line="252" w:lineRule="auto"/>
              <w:jc w:val="left"/>
            </w:pPr>
            <w:r>
              <w:rPr>
                <w:rFonts w:ascii="Times New Roman" w:hAnsi="Times New Roman"/>
                <w:sz w:val="18"/>
              </w:rPr>
              <w:t>RQ1 (Rank-Based Fuel Test)</w:t>
            </w:r>
          </w:p>
        </w:tc>
      </w:tr>
      <w:tr>
        <w:tc>
          <w:tcPr>
            <w:tcW w:type="dxa" w:w="2160"/>
            <w:shd w:fill="FAFAFA"/>
          </w:tcPr>
          <w:p>
            <w:pPr>
              <w:spacing w:before="40" w:after="40" w:line="252" w:lineRule="auto"/>
              <w:jc w:val="left"/>
            </w:pPr>
            <w:r>
              <w:rPr>
                <w:rFonts w:ascii="Times New Roman" w:hAnsi="Times New Roman"/>
                <w:sz w:val="18"/>
              </w:rPr>
              <w:t>Classification Accuracy</w:t>
            </w:r>
          </w:p>
        </w:tc>
        <w:tc>
          <w:tcPr>
            <w:tcW w:type="dxa" w:w="3168"/>
            <w:shd w:fill="FAFAFA"/>
          </w:tcPr>
          <w:p>
            <w:pPr>
              <w:spacing w:before="40" w:after="40" w:line="252" w:lineRule="auto"/>
              <w:jc w:val="left"/>
            </w:pPr>
            <w:r>
              <w:rPr>
                <w:rFonts w:ascii="Times New Roman" w:hAnsi="Times New Roman"/>
                <w:sz w:val="18"/>
              </w:rPr>
              <w:t>Accuracy = (TP + TN) / (TP + TN + FP + FN)</w:t>
            </w:r>
          </w:p>
        </w:tc>
        <w:tc>
          <w:tcPr>
            <w:tcW w:type="dxa" w:w="2592"/>
            <w:shd w:fill="FAFAFA"/>
          </w:tcPr>
          <w:p>
            <w:pPr>
              <w:spacing w:before="40" w:after="40" w:line="252" w:lineRule="auto"/>
              <w:jc w:val="left"/>
            </w:pPr>
            <w:r>
              <w:rPr>
                <w:rFonts w:ascii="Times New Roman" w:hAnsi="Times New Roman"/>
                <w:sz w:val="18"/>
              </w:rPr>
              <w:t>Overall proportion of generating units correctly classified in holdout testing.</w:t>
            </w:r>
          </w:p>
        </w:tc>
        <w:tc>
          <w:tcPr>
            <w:tcW w:type="dxa" w:w="2160"/>
            <w:shd w:fill="FAFAFA"/>
          </w:tcPr>
          <w:p>
            <w:pPr>
              <w:spacing w:before="40" w:after="40" w:line="252" w:lineRule="auto"/>
              <w:jc w:val="left"/>
            </w:pPr>
            <w:r>
              <w:rPr>
                <w:rFonts w:ascii="Times New Roman" w:hAnsi="Times New Roman"/>
                <w:sz w:val="18"/>
              </w:rPr>
              <w:t>RQ2 (Overall Correctness)</w:t>
            </w:r>
          </w:p>
        </w:tc>
      </w:tr>
      <w:tr>
        <w:tc>
          <w:tcPr>
            <w:tcW w:type="dxa" w:w="2160"/>
          </w:tcPr>
          <w:p>
            <w:pPr>
              <w:spacing w:before="40" w:after="40" w:line="252" w:lineRule="auto"/>
              <w:jc w:val="left"/>
            </w:pPr>
            <w:r>
              <w:rPr>
                <w:rFonts w:ascii="Times New Roman" w:hAnsi="Times New Roman"/>
                <w:sz w:val="18"/>
              </w:rPr>
              <w:t>Precision (Positive Predictive)</w:t>
            </w:r>
          </w:p>
        </w:tc>
        <w:tc>
          <w:tcPr>
            <w:tcW w:type="dxa" w:w="3168"/>
          </w:tcPr>
          <w:p>
            <w:pPr>
              <w:spacing w:before="40" w:after="40" w:line="252" w:lineRule="auto"/>
              <w:jc w:val="left"/>
            </w:pPr>
            <w:r>
              <w:rPr>
                <w:rFonts w:ascii="Times New Roman" w:hAnsi="Times New Roman"/>
                <w:sz w:val="18"/>
              </w:rPr>
              <w:t>Precision = TP / (TP + FP)</w:t>
            </w:r>
          </w:p>
        </w:tc>
        <w:tc>
          <w:tcPr>
            <w:tcW w:type="dxa" w:w="2592"/>
          </w:tcPr>
          <w:p>
            <w:pPr>
              <w:spacing w:before="40" w:after="40" w:line="252" w:lineRule="auto"/>
              <w:jc w:val="left"/>
            </w:pPr>
            <w:r>
              <w:rPr>
                <w:rFonts w:ascii="Times New Roman" w:hAnsi="Times New Roman"/>
                <w:sz w:val="18"/>
              </w:rPr>
              <w:t>Proportion of flagged high-emitter units that are genuinely top-quartile emitters.</w:t>
            </w:r>
          </w:p>
        </w:tc>
        <w:tc>
          <w:tcPr>
            <w:tcW w:type="dxa" w:w="2160"/>
          </w:tcPr>
          <w:p>
            <w:pPr>
              <w:spacing w:before="40" w:after="40" w:line="252" w:lineRule="auto"/>
              <w:jc w:val="left"/>
            </w:pPr>
            <w:r>
              <w:rPr>
                <w:rFonts w:ascii="Times New Roman" w:hAnsi="Times New Roman"/>
                <w:sz w:val="18"/>
              </w:rPr>
              <w:t>RQ2 (Audit Cost Efficiency)</w:t>
            </w:r>
          </w:p>
        </w:tc>
      </w:tr>
      <w:tr>
        <w:tc>
          <w:tcPr>
            <w:tcW w:type="dxa" w:w="2160"/>
            <w:shd w:fill="FAFAFA"/>
          </w:tcPr>
          <w:p>
            <w:pPr>
              <w:spacing w:before="40" w:after="40" w:line="252" w:lineRule="auto"/>
              <w:jc w:val="left"/>
            </w:pPr>
            <w:r>
              <w:rPr>
                <w:rFonts w:ascii="Times New Roman" w:hAnsi="Times New Roman"/>
                <w:sz w:val="18"/>
              </w:rPr>
              <w:t>Recall (Sensitivity / TPR)</w:t>
            </w:r>
          </w:p>
        </w:tc>
        <w:tc>
          <w:tcPr>
            <w:tcW w:type="dxa" w:w="3168"/>
            <w:shd w:fill="FAFAFA"/>
          </w:tcPr>
          <w:p>
            <w:pPr>
              <w:spacing w:before="40" w:after="40" w:line="252" w:lineRule="auto"/>
              <w:jc w:val="left"/>
            </w:pPr>
            <w:r>
              <w:rPr>
                <w:rFonts w:ascii="Times New Roman" w:hAnsi="Times New Roman"/>
                <w:sz w:val="18"/>
              </w:rPr>
              <w:t>Recall = TP / (TP + FN)</w:t>
            </w:r>
          </w:p>
        </w:tc>
        <w:tc>
          <w:tcPr>
            <w:tcW w:type="dxa" w:w="2592"/>
            <w:shd w:fill="FAFAFA"/>
          </w:tcPr>
          <w:p>
            <w:pPr>
              <w:spacing w:before="40" w:after="40" w:line="252" w:lineRule="auto"/>
              <w:jc w:val="left"/>
            </w:pPr>
            <w:r>
              <w:rPr>
                <w:rFonts w:ascii="Times New Roman" w:hAnsi="Times New Roman"/>
                <w:sz w:val="18"/>
              </w:rPr>
              <w:t>Proportion of actual high-emission units successfully detected by the model.</w:t>
            </w:r>
          </w:p>
        </w:tc>
        <w:tc>
          <w:tcPr>
            <w:tcW w:type="dxa" w:w="2160"/>
            <w:shd w:fill="FAFAFA"/>
          </w:tcPr>
          <w:p>
            <w:pPr>
              <w:spacing w:before="40" w:after="40" w:line="252" w:lineRule="auto"/>
              <w:jc w:val="left"/>
            </w:pPr>
            <w:r>
              <w:rPr>
                <w:rFonts w:ascii="Times New Roman" w:hAnsi="Times New Roman"/>
                <w:sz w:val="18"/>
              </w:rPr>
              <w:t>RQ2 (Regulatory Risk Capture)</w:t>
            </w:r>
          </w:p>
        </w:tc>
      </w:tr>
      <w:tr>
        <w:tc>
          <w:tcPr>
            <w:tcW w:type="dxa" w:w="2160"/>
          </w:tcPr>
          <w:p>
            <w:pPr>
              <w:spacing w:before="40" w:after="40" w:line="252" w:lineRule="auto"/>
              <w:jc w:val="left"/>
            </w:pPr>
            <w:r>
              <w:rPr>
                <w:rFonts w:ascii="Times New Roman" w:hAnsi="Times New Roman"/>
                <w:sz w:val="18"/>
              </w:rPr>
              <w:t>F1-Score (Harmonic Mean)</w:t>
            </w:r>
          </w:p>
        </w:tc>
        <w:tc>
          <w:tcPr>
            <w:tcW w:type="dxa" w:w="3168"/>
          </w:tcPr>
          <w:p>
            <w:pPr>
              <w:spacing w:before="40" w:after="40" w:line="252" w:lineRule="auto"/>
              <w:jc w:val="left"/>
            </w:pPr>
            <w:r>
              <w:rPr>
                <w:rFonts w:ascii="Times New Roman" w:hAnsi="Times New Roman"/>
                <w:sz w:val="18"/>
              </w:rPr>
              <w:t>F1 = 2 × (Precision × Recall) / (Precision + Recall)</w:t>
            </w:r>
          </w:p>
        </w:tc>
        <w:tc>
          <w:tcPr>
            <w:tcW w:type="dxa" w:w="2592"/>
          </w:tcPr>
          <w:p>
            <w:pPr>
              <w:spacing w:before="40" w:after="40" w:line="252" w:lineRule="auto"/>
              <w:jc w:val="left"/>
            </w:pPr>
            <w:r>
              <w:rPr>
                <w:rFonts w:ascii="Times New Roman" w:hAnsi="Times New Roman"/>
                <w:sz w:val="18"/>
              </w:rPr>
              <w:t>Harmonic mean balancing precision and recall under 25.14% class imbalance.</w:t>
            </w:r>
          </w:p>
        </w:tc>
        <w:tc>
          <w:tcPr>
            <w:tcW w:type="dxa" w:w="2160"/>
          </w:tcPr>
          <w:p>
            <w:pPr>
              <w:spacing w:before="40" w:after="40" w:line="252" w:lineRule="auto"/>
              <w:jc w:val="left"/>
            </w:pPr>
            <w:r>
              <w:rPr>
                <w:rFonts w:ascii="Times New Roman" w:hAnsi="Times New Roman"/>
                <w:sz w:val="18"/>
              </w:rPr>
              <w:t>RQ2 (Primary CV &amp; Test Metric)</w:t>
            </w:r>
          </w:p>
        </w:tc>
      </w:tr>
      <w:tr>
        <w:tc>
          <w:tcPr>
            <w:tcW w:type="dxa" w:w="2160"/>
            <w:shd w:fill="FAFAFA"/>
          </w:tcPr>
          <w:p>
            <w:pPr>
              <w:spacing w:before="40" w:after="40" w:line="252" w:lineRule="auto"/>
              <w:jc w:val="left"/>
            </w:pPr>
            <w:r>
              <w:rPr>
                <w:rFonts w:ascii="Times New Roman" w:hAnsi="Times New Roman"/>
                <w:sz w:val="18"/>
              </w:rPr>
              <w:t>ROC-AUC</w:t>
            </w:r>
          </w:p>
        </w:tc>
        <w:tc>
          <w:tcPr>
            <w:tcW w:type="dxa" w:w="3168"/>
            <w:shd w:fill="FAFAFA"/>
          </w:tcPr>
          <w:p>
            <w:pPr>
              <w:spacing w:before="40" w:after="40" w:line="252" w:lineRule="auto"/>
              <w:jc w:val="left"/>
            </w:pPr>
            <w:r>
              <w:rPr>
                <w:rFonts w:ascii="Times New Roman" w:hAnsi="Times New Roman"/>
                <w:sz w:val="18"/>
              </w:rPr>
              <w:t>AUC = ∫₀¹ TPR(FPR) d(FPR)</w:t>
            </w:r>
          </w:p>
        </w:tc>
        <w:tc>
          <w:tcPr>
            <w:tcW w:type="dxa" w:w="2592"/>
            <w:shd w:fill="FAFAFA"/>
          </w:tcPr>
          <w:p>
            <w:pPr>
              <w:spacing w:before="40" w:after="40" w:line="252" w:lineRule="auto"/>
              <w:jc w:val="left"/>
            </w:pPr>
            <w:r>
              <w:rPr>
                <w:rFonts w:ascii="Times New Roman" w:hAnsi="Times New Roman"/>
                <w:sz w:val="18"/>
              </w:rPr>
              <w:t>Threshold-independent probability that a random high emitter ranks above a low emitter.</w:t>
            </w:r>
          </w:p>
        </w:tc>
        <w:tc>
          <w:tcPr>
            <w:tcW w:type="dxa" w:w="2160"/>
            <w:shd w:fill="FAFAFA"/>
          </w:tcPr>
          <w:p>
            <w:pPr>
              <w:spacing w:before="40" w:after="40" w:line="252" w:lineRule="auto"/>
              <w:jc w:val="left"/>
            </w:pPr>
            <w:r>
              <w:rPr>
                <w:rFonts w:ascii="Times New Roman" w:hAnsi="Times New Roman"/>
                <w:sz w:val="18"/>
              </w:rPr>
              <w:t>RQ2 (Global Discrimination)</w:t>
            </w:r>
          </w:p>
        </w:tc>
      </w:tr>
      <w:tr>
        <w:tc>
          <w:tcPr>
            <w:tcW w:type="dxa" w:w="2160"/>
          </w:tcPr>
          <w:p>
            <w:pPr>
              <w:spacing w:before="40" w:after="40" w:line="252" w:lineRule="auto"/>
              <w:jc w:val="left"/>
            </w:pPr>
            <w:r>
              <w:rPr>
                <w:rFonts w:ascii="Times New Roman" w:hAnsi="Times New Roman"/>
                <w:sz w:val="18"/>
              </w:rPr>
              <w:t>Pearson (r) &amp; Spearman (ρ)</w:t>
            </w:r>
          </w:p>
        </w:tc>
        <w:tc>
          <w:tcPr>
            <w:tcW w:type="dxa" w:w="3168"/>
          </w:tcPr>
          <w:p>
            <w:pPr>
              <w:spacing w:before="40" w:after="40" w:line="252" w:lineRule="auto"/>
              <w:jc w:val="left"/>
            </w:pPr>
            <w:r>
              <w:rPr>
                <w:rFonts w:ascii="Times New Roman" w:hAnsi="Times New Roman"/>
                <w:sz w:val="18"/>
              </w:rPr>
              <w:t>r = Cov(X,Y)/(σ_X σ_Y); ρ = 1 - [6Σd_i²]/[n(n²-1)]</w:t>
            </w:r>
          </w:p>
        </w:tc>
        <w:tc>
          <w:tcPr>
            <w:tcW w:type="dxa" w:w="2592"/>
          </w:tcPr>
          <w:p>
            <w:pPr>
              <w:spacing w:before="40" w:after="40" w:line="252" w:lineRule="auto"/>
              <w:jc w:val="left"/>
            </w:pPr>
            <w:r>
              <w:rPr>
                <w:rFonts w:ascii="Times New Roman" w:hAnsi="Times New Roman"/>
                <w:sz w:val="18"/>
              </w:rPr>
              <w:t>Parametric linear and non-parametric monotonic association strength.</w:t>
            </w:r>
          </w:p>
        </w:tc>
        <w:tc>
          <w:tcPr>
            <w:tcW w:type="dxa" w:w="2160"/>
          </w:tcPr>
          <w:p>
            <w:pPr>
              <w:spacing w:before="40" w:after="40" w:line="252" w:lineRule="auto"/>
              <w:jc w:val="left"/>
            </w:pPr>
            <w:r>
              <w:rPr>
                <w:rFonts w:ascii="Times New Roman" w:hAnsi="Times New Roman"/>
                <w:sz w:val="18"/>
              </w:rPr>
              <w:t>RQ3 (Age vs Thermal Load)</w:t>
            </w:r>
          </w:p>
        </w:tc>
      </w:tr>
      <w:tr>
        <w:tc>
          <w:tcPr>
            <w:tcW w:type="dxa" w:w="2160"/>
            <w:shd w:fill="FAFAFA"/>
          </w:tcPr>
          <w:p>
            <w:pPr>
              <w:spacing w:before="40" w:after="40" w:line="252" w:lineRule="auto"/>
              <w:jc w:val="left"/>
            </w:pPr>
            <w:r>
              <w:rPr>
                <w:rFonts w:ascii="Times New Roman" w:hAnsi="Times New Roman"/>
                <w:sz w:val="18"/>
              </w:rPr>
              <w:t>OLS R² &amp; Adjusted R²</w:t>
            </w:r>
          </w:p>
        </w:tc>
        <w:tc>
          <w:tcPr>
            <w:tcW w:type="dxa" w:w="3168"/>
            <w:shd w:fill="FAFAFA"/>
          </w:tcPr>
          <w:p>
            <w:pPr>
              <w:spacing w:before="40" w:after="40" w:line="252" w:lineRule="auto"/>
              <w:jc w:val="left"/>
            </w:pPr>
            <w:r>
              <w:rPr>
                <w:rFonts w:ascii="Times New Roman" w:hAnsi="Times New Roman"/>
                <w:sz w:val="18"/>
              </w:rPr>
              <w:t>R² = 1 - (SS_res / SS_tot); Adj R² = 1 - (1-R²)(n-1)/(n-p-1)</w:t>
            </w:r>
          </w:p>
        </w:tc>
        <w:tc>
          <w:tcPr>
            <w:tcW w:type="dxa" w:w="2592"/>
            <w:shd w:fill="FAFAFA"/>
          </w:tcPr>
          <w:p>
            <w:pPr>
              <w:spacing w:before="40" w:after="40" w:line="252" w:lineRule="auto"/>
              <w:jc w:val="left"/>
            </w:pPr>
            <w:r>
              <w:rPr>
                <w:rFonts w:ascii="Times New Roman" w:hAnsi="Times New Roman"/>
                <w:sz w:val="18"/>
              </w:rPr>
              <w:t>Proportion of dependent variable variance explained, penalized for predictor count p.</w:t>
            </w:r>
          </w:p>
        </w:tc>
        <w:tc>
          <w:tcPr>
            <w:tcW w:type="dxa" w:w="2160"/>
            <w:shd w:fill="FAFAFA"/>
          </w:tcPr>
          <w:p>
            <w:pPr>
              <w:spacing w:before="40" w:after="40" w:line="252" w:lineRule="auto"/>
              <w:jc w:val="left"/>
            </w:pPr>
            <w:r>
              <w:rPr>
                <w:rFonts w:ascii="Times New Roman" w:hAnsi="Times New Roman"/>
                <w:sz w:val="18"/>
              </w:rPr>
              <w:t>RQ3 (Econometric Goodness-of-Fit)</w:t>
            </w:r>
          </w:p>
        </w:tc>
      </w:tr>
      <w:tr>
        <w:tc>
          <w:tcPr>
            <w:tcW w:type="dxa" w:w="2160"/>
          </w:tcPr>
          <w:p>
            <w:pPr>
              <w:spacing w:before="40" w:after="40" w:line="252" w:lineRule="auto"/>
              <w:jc w:val="left"/>
            </w:pPr>
            <w:r>
              <w:rPr>
                <w:rFonts w:ascii="Times New Roman" w:hAnsi="Times New Roman"/>
                <w:sz w:val="18"/>
              </w:rPr>
              <w:t>RMSE &amp; MAE</w:t>
            </w:r>
          </w:p>
        </w:tc>
        <w:tc>
          <w:tcPr>
            <w:tcW w:type="dxa" w:w="3168"/>
          </w:tcPr>
          <w:p>
            <w:pPr>
              <w:spacing w:before="40" w:after="40" w:line="252" w:lineRule="auto"/>
              <w:jc w:val="left"/>
            </w:pPr>
            <w:r>
              <w:rPr>
                <w:rFonts w:ascii="Times New Roman" w:hAnsi="Times New Roman"/>
                <w:sz w:val="18"/>
              </w:rPr>
              <w:t>RMSE = √[(1/n)Σ(y_i - ŷ_i)²]; MAE = (1/n)Σ|y_i - ŷ_i|</w:t>
            </w:r>
          </w:p>
        </w:tc>
        <w:tc>
          <w:tcPr>
            <w:tcW w:type="dxa" w:w="2592"/>
          </w:tcPr>
          <w:p>
            <w:pPr>
              <w:spacing w:before="40" w:after="40" w:line="252" w:lineRule="auto"/>
              <w:jc w:val="left"/>
            </w:pPr>
            <w:r>
              <w:rPr>
                <w:rFonts w:ascii="Times New Roman" w:hAnsi="Times New Roman"/>
                <w:sz w:val="18"/>
              </w:rPr>
              <w:t>Prediction error magnitude in physical thermal units (mmBtu/hr).</w:t>
            </w:r>
          </w:p>
        </w:tc>
        <w:tc>
          <w:tcPr>
            <w:tcW w:type="dxa" w:w="2160"/>
          </w:tcPr>
          <w:p>
            <w:pPr>
              <w:spacing w:before="40" w:after="40" w:line="252" w:lineRule="auto"/>
              <w:jc w:val="left"/>
            </w:pPr>
            <w:r>
              <w:rPr>
                <w:rFonts w:ascii="Times New Roman" w:hAnsi="Times New Roman"/>
                <w:sz w:val="18"/>
              </w:rPr>
              <w:t>RQ3 (Regression Error Scale)</w:t>
            </w:r>
          </w:p>
        </w:tc>
      </w:tr>
      <w:tr>
        <w:tc>
          <w:tcPr>
            <w:tcW w:type="dxa" w:w="2160"/>
            <w:shd w:fill="FAFAFA"/>
          </w:tcPr>
          <w:p>
            <w:pPr>
              <w:spacing w:before="40" w:after="40" w:line="252" w:lineRule="auto"/>
              <w:jc w:val="left"/>
            </w:pPr>
            <w:r>
              <w:rPr>
                <w:rFonts w:ascii="Times New Roman" w:hAnsi="Times New Roman"/>
                <w:sz w:val="18"/>
              </w:rPr>
              <w:t>WCSS &amp; Silhouette (s)</w:t>
            </w:r>
          </w:p>
        </w:tc>
        <w:tc>
          <w:tcPr>
            <w:tcW w:type="dxa" w:w="3168"/>
            <w:shd w:fill="FAFAFA"/>
          </w:tcPr>
          <w:p>
            <w:pPr>
              <w:spacing w:before="40" w:after="40" w:line="252" w:lineRule="auto"/>
              <w:jc w:val="left"/>
            </w:pPr>
            <w:r>
              <w:rPr>
                <w:rFonts w:ascii="Times New Roman" w:hAnsi="Times New Roman"/>
                <w:sz w:val="18"/>
              </w:rPr>
              <w:t>WCSS = Σ_k Σ||x - μ_k||²; s(i) = (b(i)-a(i))/max(a(i),b(i))</w:t>
            </w:r>
          </w:p>
        </w:tc>
        <w:tc>
          <w:tcPr>
            <w:tcW w:type="dxa" w:w="2592"/>
            <w:shd w:fill="FAFAFA"/>
          </w:tcPr>
          <w:p>
            <w:pPr>
              <w:spacing w:before="40" w:after="40" w:line="252" w:lineRule="auto"/>
              <w:jc w:val="left"/>
            </w:pPr>
            <w:r>
              <w:rPr>
                <w:rFonts w:ascii="Times New Roman" w:hAnsi="Times New Roman"/>
                <w:sz w:val="18"/>
              </w:rPr>
              <w:t>Measures internal cluster compactness (WCSS) and cohesion vs separation (s ∈ [-1,1]).</w:t>
            </w:r>
          </w:p>
        </w:tc>
        <w:tc>
          <w:tcPr>
            <w:tcW w:type="dxa" w:w="2160"/>
            <w:shd w:fill="FAFAFA"/>
          </w:tcPr>
          <w:p>
            <w:pPr>
              <w:spacing w:before="40" w:after="40" w:line="252" w:lineRule="auto"/>
              <w:jc w:val="left"/>
            </w:pPr>
            <w:r>
              <w:rPr>
                <w:rFonts w:ascii="Times New Roman" w:hAnsi="Times New Roman"/>
                <w:sz w:val="18"/>
              </w:rPr>
              <w:t>RQ4 (Cluster Optimization)</w:t>
            </w:r>
          </w:p>
        </w:tc>
      </w:tr>
    </w:tbl>
    <w:p>
      <w:pPr>
        <w:spacing w:before="60" w:after="240"/>
      </w:pPr>
      <w:r>
        <w:rPr>
          <w:rFonts w:ascii="Times New Roman" w:hAnsi="Times New Roman"/>
          <w:i/>
          <w:sz w:val="18"/>
        </w:rPr>
        <w:t xml:space="preserve">Note. </w:t>
      </w:r>
      <w:r>
        <w:rPr>
          <w:rFonts w:ascii="Times New Roman" w:hAnsi="Times New Roman"/>
          <w:sz w:val="18"/>
        </w:rPr>
        <w:t>Formal algebraic definitions and domain interpretations of all inferential, regression, classification, and clustering metrics.</w:t>
      </w:r>
    </w:p>
    <w:p>
      <w:pPr>
        <w:keepNext/>
        <w:spacing w:before="320" w:after="160"/>
        <w:jc w:val="center"/>
      </w:pPr>
      <w:r>
        <w:rPr>
          <w:rFonts w:ascii="Times New Roman" w:hAnsi="Times New Roman"/>
          <w:b/>
          <w:color w:val="0F2240"/>
          <w:sz w:val="28"/>
        </w:rPr>
        <w:t>4. Architecture Diagram and System Workflow</w:t>
      </w:r>
    </w:p>
    <w:p>
      <w:pPr>
        <w:keepNext/>
        <w:spacing w:before="240" w:after="120"/>
        <w:jc w:val="left"/>
      </w:pPr>
      <w:r>
        <w:rPr>
          <w:rFonts w:ascii="Times New Roman" w:hAnsi="Times New Roman"/>
          <w:b/>
          <w:color w:val="19375F"/>
          <w:sz w:val="24"/>
        </w:rPr>
        <w:t>System Overview</w:t>
      </w:r>
    </w:p>
    <w:p>
      <w:pPr>
        <w:spacing w:after="120" w:line="276" w:lineRule="auto"/>
        <w:jc w:val="left"/>
      </w:pPr>
      <w:r>
        <w:rPr>
          <w:rFonts w:ascii="Times New Roman" w:hAnsi="Times New Roman"/>
          <w:i w:val="0"/>
          <w:sz w:val="22"/>
        </w:rPr>
        <w:t>To operationalize the research methodologies across RQ1–RQ4 with full scientific reproducibility, a modular seven-stage analytical system architecture was engineered. The pipeline ingests raw federal regulatory CSV filings from the EPA Clean Air Markets Program, executes automated quality assurance and regex feature extraction, performs exploratory statistical profiling, constructs standardized numerical and categorical feature matrices, trains and cross-validates the four-tier modeling suite (inferential, supervised ML, econometric OLS, and unsupervised clustering), evaluates out-of-sample diagnostic metrics, and exports structured JSON artifacts, 300 DPI visual diagnostics, and regulatory decision-support risk profiles. The overarching purpose of this architecture is to eliminate manual data handling errors and provide a scalable, end-to-end decision support system for environmental compliance auditing.</w:t>
      </w:r>
    </w:p>
    <w:p>
      <w:pPr>
        <w:keepNext/>
        <w:spacing w:before="240" w:after="120"/>
        <w:jc w:val="left"/>
      </w:pPr>
      <w:r>
        <w:rPr>
          <w:rFonts w:ascii="Times New Roman" w:hAnsi="Times New Roman"/>
          <w:b/>
          <w:color w:val="19375F"/>
          <w:sz w:val="24"/>
        </w:rPr>
        <w:t>Architecture Diagram</w:t>
      </w:r>
    </w:p>
    <w:p>
      <w:pPr>
        <w:spacing w:after="120" w:line="276" w:lineRule="auto"/>
        <w:jc w:val="left"/>
      </w:pPr>
      <w:r>
        <w:rPr>
          <w:rFonts w:ascii="Times New Roman" w:hAnsi="Times New Roman"/>
          <w:i w:val="0"/>
          <w:sz w:val="22"/>
        </w:rPr>
        <w:t>As shown in Figure 5, the end-to-end system workflow progresses sequentially across seven color-coded functional stages: (1) Data Source and Ingestion, (2) Data Preprocessing, (3) Exploratory Data Analysis (EDA), (4) Feature Engineering, (5) Multi-Tier Analytical Modeling Framework, (6) Evaluation and Diagnostics, and (7) Deployment and User Impact.</w:t>
      </w:r>
    </w:p>
    <w:p>
      <w:pPr>
        <w:keepNext/>
        <w:spacing w:before="240" w:after="40"/>
      </w:pPr>
      <w:r>
        <w:rPr>
          <w:rFonts w:ascii="Times New Roman" w:hAnsi="Times New Roman"/>
          <w:b/>
          <w:sz w:val="22"/>
        </w:rPr>
        <w:t>Figure 5</w:t>
      </w:r>
    </w:p>
    <w:p>
      <w:pPr>
        <w:keepNext/>
        <w:spacing w:before="0" w:after="120"/>
      </w:pPr>
      <w:r>
        <w:rPr>
          <w:rFonts w:ascii="Times New Roman" w:hAnsi="Times New Roman"/>
          <w:i/>
          <w:sz w:val="22"/>
        </w:rPr>
        <w:t>End-to-End Workflow of the Proposed System</w:t>
      </w:r>
    </w:p>
    <w:p>
      <w:pPr>
        <w:keepNext/>
        <w:spacing w:after="80"/>
        <w:jc w:val="center"/>
      </w:pPr>
      <w:r>
        <w:drawing>
          <wp:inline xmlns:a="http://schemas.openxmlformats.org/drawingml/2006/main" xmlns:pic="http://schemas.openxmlformats.org/drawingml/2006/picture">
            <wp:extent cx="5852160" cy="3145713"/>
            <wp:docPr id="5" name="Picture 5"/>
            <wp:cNvGraphicFramePr>
              <a:graphicFrameLocks noChangeAspect="1"/>
            </wp:cNvGraphicFramePr>
            <a:graphic>
              <a:graphicData uri="http://schemas.openxmlformats.org/drawingml/2006/picture">
                <pic:pic>
                  <pic:nvPicPr>
                    <pic:cNvPr id="0" name="figure0_system_architecture.png"/>
                    <pic:cNvPicPr/>
                  </pic:nvPicPr>
                  <pic:blipFill>
                    <a:blip r:embed="rId15"/>
                    <a:stretch>
                      <a:fillRect/>
                    </a:stretch>
                  </pic:blipFill>
                  <pic:spPr>
                    <a:xfrm>
                      <a:off x="0" y="0"/>
                      <a:ext cx="5852160" cy="3145713"/>
                    </a:xfrm>
                    <a:prstGeom prst="rect"/>
                  </pic:spPr>
                </pic:pic>
              </a:graphicData>
            </a:graphic>
          </wp:inline>
        </w:drawing>
      </w:r>
    </w:p>
    <w:p>
      <w:pPr>
        <w:spacing w:before="40" w:after="240"/>
      </w:pPr>
      <w:r>
        <w:rPr>
          <w:rFonts w:ascii="Times New Roman" w:hAnsi="Times New Roman"/>
          <w:i/>
          <w:sz w:val="19"/>
        </w:rPr>
        <w:t xml:space="preserve">Note. </w:t>
      </w:r>
      <w:r>
        <w:rPr>
          <w:rFonts w:ascii="Times New Roman" w:hAnsi="Times New Roman"/>
          <w:sz w:val="19"/>
        </w:rPr>
        <w:t>System architecture diagram illustrating the seven-stage analytical pipeline from EPA CAMPD bulk data ingestion (N = 4,050 units) through preprocessing, EDA, feature engineering, multi-tier statistical/ML modeling (RQ1–RQ4), diagnostic validation, and regulatory decision-support deployment.</w:t>
      </w:r>
    </w:p>
    <w:p>
      <w:pPr>
        <w:keepNext/>
        <w:spacing w:before="240" w:after="120"/>
        <w:jc w:val="left"/>
      </w:pPr>
      <w:r>
        <w:rPr>
          <w:rFonts w:ascii="Times New Roman" w:hAnsi="Times New Roman"/>
          <w:b/>
          <w:color w:val="19375F"/>
          <w:sz w:val="24"/>
        </w:rPr>
        <w:t>Workflow Components</w:t>
      </w:r>
    </w:p>
    <w:p>
      <w:pPr>
        <w:spacing w:after="100" w:line="276" w:lineRule="auto"/>
        <w:jc w:val="left"/>
      </w:pPr>
      <w:r>
        <w:rPr>
          <w:rFonts w:ascii="Times New Roman" w:hAnsi="Times New Roman"/>
          <w:b/>
          <w:sz w:val="22"/>
        </w:rPr>
        <w:t xml:space="preserve">1. Data Ingestion: </w:t>
      </w:r>
      <w:r>
        <w:rPr>
          <w:rFonts w:ascii="Times New Roman" w:hAnsi="Times New Roman"/>
          <w:i w:val="0"/>
          <w:sz w:val="22"/>
        </w:rPr>
        <w:t>The pipeline ingests the official U.S. EPA CAMPD bulk flat file (data/raw/facility-2025.csv) using Pandas low-memory C-engine parsing. The ingestion layer validates the schema of 30 raw regulatory attributes across N = 4,050 stationary generating units and 1,328 unique ORISPL facility identifiers, logging initial row/column counts and verifying zero file corruption.</w:t>
      </w:r>
    </w:p>
    <w:p>
      <w:pPr>
        <w:spacing w:after="100" w:line="276" w:lineRule="auto"/>
        <w:jc w:val="left"/>
      </w:pPr>
      <w:r>
        <w:rPr>
          <w:rFonts w:ascii="Times New Roman" w:hAnsi="Times New Roman"/>
          <w:b/>
          <w:sz w:val="22"/>
        </w:rPr>
        <w:t xml:space="preserve">2. Data Preprocessing: </w:t>
      </w:r>
      <w:r>
        <w:rPr>
          <w:rFonts w:ascii="Times New Roman" w:hAnsi="Times New Roman"/>
          <w:i w:val="0"/>
          <w:sz w:val="22"/>
        </w:rPr>
        <w:t>The preprocessing engine executes composite key deduplication (confirming 0 duplicates), applies regular expression extraction to parse numerical megawatt ratings from multi-generator text strings, converts commercial operation dates into continuous unit vintage (Unit_Age), encodes blank abatement fields as uncontrolled (0) vs controlled (1), consolidates high-cardinality fuel (12 → 5) and boiler (33 → 5) taxonomies, and applies unit-technology median imputation to achieve 100% record retention.</w:t>
      </w:r>
    </w:p>
    <w:p>
      <w:pPr>
        <w:spacing w:after="100" w:line="276" w:lineRule="auto"/>
        <w:jc w:val="left"/>
      </w:pPr>
      <w:r>
        <w:rPr>
          <w:rFonts w:ascii="Times New Roman" w:hAnsi="Times New Roman"/>
          <w:b/>
          <w:sz w:val="22"/>
        </w:rPr>
        <w:t xml:space="preserve">3. Exploratory Data Analysis (EDA): </w:t>
      </w:r>
      <w:r>
        <w:rPr>
          <w:rFonts w:ascii="Times New Roman" w:hAnsi="Times New Roman"/>
          <w:i w:val="0"/>
          <w:sz w:val="22"/>
        </w:rPr>
        <w:t>The EDA module computes parametric (mean, SD) and non-parametric (median, IQR) summary statistics, evaluates distributional skewness, and renders high-resolution diagnostic visualizations (Figures 1–4) examining fuel-level thermal boxplots, technology prevalence vs scale, multi-pollutant scrubber adoption rates, and pairwise Pearson correlation matrices.</w:t>
      </w:r>
    </w:p>
    <w:p>
      <w:pPr>
        <w:spacing w:after="100" w:line="276" w:lineRule="auto"/>
        <w:jc w:val="left"/>
      </w:pPr>
      <w:r>
        <w:rPr>
          <w:rFonts w:ascii="Times New Roman" w:hAnsi="Times New Roman"/>
          <w:b/>
          <w:sz w:val="22"/>
        </w:rPr>
        <w:t xml:space="preserve">4. Feature Engineering: </w:t>
      </w:r>
      <w:r>
        <w:rPr>
          <w:rFonts w:ascii="Times New Roman" w:hAnsi="Times New Roman"/>
          <w:i w:val="0"/>
          <w:sz w:val="22"/>
        </w:rPr>
        <w:t>The feature engineering layer constructs 15 analytical predictors, including cumulative pollution control counts (Control_Count ∈ {0..4}), thermal intensity ratios (Heat_Input_Intensity), logarithmic scale transformations (Log_Capacity and Log_Heat_Input), one-hot dummy encodings with reference category dropping, Z-score standardization (StandardScaler fitted strictly on training data), and the binary 75th-percentile classification target (High_Emitter &gt;= 2,350.0 mmBtu/hr).</w:t>
      </w:r>
    </w:p>
    <w:p>
      <w:pPr>
        <w:spacing w:after="100" w:line="276" w:lineRule="auto"/>
        <w:jc w:val="left"/>
      </w:pPr>
      <w:r>
        <w:rPr>
          <w:rFonts w:ascii="Times New Roman" w:hAnsi="Times New Roman"/>
          <w:b/>
          <w:sz w:val="22"/>
        </w:rPr>
        <w:t xml:space="preserve">5. Model Development: </w:t>
      </w:r>
      <w:r>
        <w:rPr>
          <w:rFonts w:ascii="Times New Roman" w:hAnsi="Times New Roman"/>
          <w:i w:val="0"/>
          <w:sz w:val="22"/>
        </w:rPr>
        <w:t>The modeling core executes four specialized analytical engines: (a) SciPy/Statsmodels One-Way ANOVA, Kruskal-Wallis, and Tukey HSD for RQ1; (b) Scikit-Learn Logistic Regression, Random Forest, and Gradient Boosting trained on the stratified 80% training split (N = 3,240) with 5-fold cross-validation for RQ2; (c) Statsmodels bivariate and multivariate OLS regressions (df = 4,046) for RQ3; and (d) K-Means clustering (k = 2..7) with 2D Principal Component Analysis (PCA) for RQ4.</w:t>
      </w:r>
    </w:p>
    <w:p>
      <w:pPr>
        <w:spacing w:after="100" w:line="276" w:lineRule="auto"/>
        <w:jc w:val="left"/>
      </w:pPr>
      <w:r>
        <w:rPr>
          <w:rFonts w:ascii="Times New Roman" w:hAnsi="Times New Roman"/>
          <w:b/>
          <w:sz w:val="22"/>
        </w:rPr>
        <w:t xml:space="preserve">6. Model Evaluation: </w:t>
      </w:r>
      <w:r>
        <w:rPr>
          <w:rFonts w:ascii="Times New Roman" w:hAnsi="Times New Roman"/>
          <w:i w:val="0"/>
          <w:sz w:val="22"/>
        </w:rPr>
        <w:t>The evaluation layer computes out-of-sample confusion matrices, Accuracy, Precision, Recall, F1-Score, and ROC-AUC on the 20% holdout test set (N = 810), alongside regression R², Adjusted R², RMSE, MAE, ANOVA η², and clustering WCSS/Silhouette scores, serializing all metrics into outputs/analytics_results.json.</w:t>
      </w:r>
    </w:p>
    <w:p>
      <w:pPr>
        <w:spacing w:after="200" w:line="276" w:lineRule="auto"/>
        <w:jc w:val="left"/>
      </w:pPr>
      <w:r>
        <w:rPr>
          <w:rFonts w:ascii="Times New Roman" w:hAnsi="Times New Roman"/>
          <w:b/>
          <w:sz w:val="22"/>
        </w:rPr>
        <w:t xml:space="preserve">7. Deployment: </w:t>
      </w:r>
      <w:r>
        <w:rPr>
          <w:rFonts w:ascii="Times New Roman" w:hAnsi="Times New Roman"/>
          <w:i w:val="0"/>
          <w:sz w:val="22"/>
        </w:rPr>
        <w:t>The processed dataset with assigned cluster archetypes and PCA coordinates is exported to data/processed/facility_clean_processed.csv, feeding an interactive regulatory compliance risk scoring dashboard and REST API microservice for EPA regional audit prioritization.</w:t>
      </w:r>
    </w:p>
    <w:p>
      <w:pPr>
        <w:keepNext/>
        <w:spacing w:before="240" w:after="120"/>
        <w:jc w:val="left"/>
      </w:pPr>
      <w:r>
        <w:rPr>
          <w:rFonts w:ascii="Times New Roman" w:hAnsi="Times New Roman"/>
          <w:b/>
          <w:color w:val="19375F"/>
          <w:sz w:val="24"/>
        </w:rPr>
        <w:t>Tools and Technologies</w:t>
      </w:r>
    </w:p>
    <w:p>
      <w:pPr>
        <w:spacing w:after="120" w:line="276" w:lineRule="auto"/>
        <w:jc w:val="left"/>
      </w:pPr>
      <w:r>
        <w:rPr>
          <w:rFonts w:ascii="Times New Roman" w:hAnsi="Times New Roman"/>
          <w:i w:val="0"/>
          <w:sz w:val="22"/>
        </w:rPr>
        <w:t>The complete analytical and reporting pipeline was built using an open-source, industry-standard Python 3.11 data science stack: (1) Pandas (v2.2) and NumPy (v1.26) for vectorized relational data manipulation, regex string parsing, and linear algebra; (2) SciPy (scipy.stats) and Statsmodels (statsmodels.api, multicomp) for parametric One-Way ANOVA, Kruskal-Wallis rank testing, Tukey HSD post-hoc contrasts, and Ordinary Least Squares econometric estimation; (3) Scikit-Learn (v1.4) for stratified train/test splitting, k-fold cross-validation, StandardScaler preprocessing, Logistic Regression, Random Forest, Gradient Boosting, K-Means clustering, Principal Component Analysis, and classification/clustering evaluation metrics; (4) Matplotlib (v3.8) and Seaborn (v0.13) for automated 300 DPI publication-grade figure rendering; (5) Python-Docx and Windows COM automation for programmatic APA 7 Word and PDF compilation; and (6) Git / GitHub for version control and public data/code hosting.</w:t>
      </w:r>
    </w:p>
    <w:p>
      <w:pPr>
        <w:keepNext/>
        <w:spacing w:before="320" w:after="160"/>
        <w:jc w:val="center"/>
      </w:pPr>
      <w:r>
        <w:rPr>
          <w:rFonts w:ascii="Times New Roman" w:hAnsi="Times New Roman"/>
          <w:b/>
          <w:color w:val="0F2240"/>
          <w:sz w:val="28"/>
        </w:rPr>
        <w:t>5. Results</w:t>
      </w:r>
    </w:p>
    <w:p>
      <w:pPr>
        <w:keepNext/>
        <w:spacing w:before="240" w:after="120"/>
        <w:jc w:val="left"/>
      </w:pPr>
      <w:r>
        <w:rPr>
          <w:rFonts w:ascii="Times New Roman" w:hAnsi="Times New Roman"/>
          <w:b/>
          <w:color w:val="19375F"/>
          <w:sz w:val="24"/>
        </w:rPr>
        <w:t>Model Performance</w:t>
      </w:r>
    </w:p>
    <w:p>
      <w:pPr>
        <w:spacing w:after="120" w:line="276" w:lineRule="auto"/>
        <w:jc w:val="left"/>
      </w:pPr>
      <w:r>
        <w:rPr>
          <w:rFonts w:ascii="Times New Roman" w:hAnsi="Times New Roman"/>
          <w:i w:val="0"/>
          <w:sz w:val="22"/>
        </w:rPr>
        <w:t>Table 8 presents the comprehensive Model Performance Comparison across all supervised classification models (evaluated on both 5-fold cross-validation within the N = 3,240 training set and out-of-sample testing on the N = 810 holdout set), alongside the econometric regression (RQ3) and unsupervised clustering (RQ4) models. Among the supervised classifiers for RQ2, Gradient Boosting (100 trees) emerged as the overall best-performing model by composite accuracy (96.54%), precision (94.44%), F1-Score (0.9303), and ROC-AUC (0.9865), representing a substantial +12.50 percentage-point improvement in F1-Score and +21.05 percentage-point improvement in precision over the regularized Logistic Regression baseline (Accuracy = 89.14%, Precision = 73.39%, F1 = 0.8053). Random Forest (150 trees) achieved the highest sensitivity/recall (93.14%) with an exceptional ROC-AUC of 0.9851, making it the optimal model when regulatory policy prioritizes minimizing missed high-emission facilities (false negatives).</w:t>
      </w:r>
    </w:p>
    <w:p>
      <w:pPr>
        <w:keepNext/>
        <w:spacing w:before="240" w:after="40"/>
      </w:pPr>
      <w:r>
        <w:rPr>
          <w:rFonts w:ascii="Times New Roman" w:hAnsi="Times New Roman"/>
          <w:b/>
          <w:sz w:val="22"/>
        </w:rPr>
        <w:t>Table 8</w:t>
      </w:r>
    </w:p>
    <w:p>
      <w:pPr>
        <w:keepNext/>
        <w:spacing w:before="0" w:after="120"/>
      </w:pPr>
      <w:r>
        <w:rPr>
          <w:rFonts w:ascii="Times New Roman" w:hAnsi="Times New Roman"/>
          <w:i/>
          <w:sz w:val="22"/>
        </w:rPr>
        <w:t>Model Performance Comparison Across Inferential, Predictive, Econometric, and Clustering Frameworks</w:t>
      </w:r>
    </w:p>
    <w:tbl>
      <w:tblPr>
        <w:tblW w:type="auto" w:w="0"/>
        <w:tblLook w:firstColumn="1" w:firstRow="1" w:lastColumn="0" w:lastRow="0" w:noHBand="0" w:noVBand="1" w:val="04A0"/>
        <w:jc w:val="center"/>
        <w:tblBorders>
          <w:top w:val="single" w:sz="12" w:space="0" w:color="000000"/>
          <w:bottom w:val="single" w:sz="12" w:space="0" w:color="000000"/>
          <w:insideH w:val="single" w:sz="4" w:space="0" w:color="E5E5E5"/>
          <w:insideV w:val="none"/>
          <w:left w:val="none"/>
          <w:right w:val="none"/>
        </w:tblBorders>
      </w:tblPr>
      <w:tblGrid>
        <w:gridCol w:w="1560"/>
        <w:gridCol w:w="1560"/>
        <w:gridCol w:w="1560"/>
        <w:gridCol w:w="1560"/>
        <w:gridCol w:w="1560"/>
        <w:gridCol w:w="1560"/>
      </w:tblGrid>
      <w:tr>
        <w:trPr>
          <w:tblHeader/>
        </w:trPr>
        <w:tc>
          <w:tcPr>
            <w:tcW w:type="dxa" w:w="1728"/>
            <w:tcBorders>
              <w:bottom w:val="single" w:sz="12" w:space="0" w:color="000000"/>
            </w:tcBorders>
            <w:shd w:fill="F4F6F8"/>
          </w:tcPr>
          <w:p>
            <w:pPr>
              <w:spacing w:before="60" w:after="60" w:line="240" w:lineRule="auto"/>
              <w:jc w:val="center"/>
            </w:pPr>
            <w:r>
              <w:rPr>
                <w:rFonts w:ascii="Times New Roman" w:hAnsi="Times New Roman"/>
                <w:b/>
                <w:sz w:val="19"/>
              </w:rPr>
              <w:t>Model</w:t>
            </w:r>
          </w:p>
        </w:tc>
        <w:tc>
          <w:tcPr>
            <w:tcW w:type="dxa" w:w="1728"/>
            <w:tcBorders>
              <w:bottom w:val="single" w:sz="12" w:space="0" w:color="000000"/>
            </w:tcBorders>
            <w:shd w:fill="F4F6F8"/>
          </w:tcPr>
          <w:p>
            <w:pPr>
              <w:spacing w:before="60" w:after="60" w:line="240" w:lineRule="auto"/>
              <w:jc w:val="center"/>
            </w:pPr>
            <w:r>
              <w:rPr>
                <w:rFonts w:ascii="Times New Roman" w:hAnsi="Times New Roman"/>
                <w:b/>
                <w:sz w:val="19"/>
              </w:rPr>
              <w:t>Features Used</w:t>
            </w:r>
          </w:p>
        </w:tc>
        <w:tc>
          <w:tcPr>
            <w:tcW w:type="dxa" w:w="1584"/>
            <w:tcBorders>
              <w:bottom w:val="single" w:sz="12" w:space="0" w:color="000000"/>
            </w:tcBorders>
            <w:shd w:fill="F4F6F8"/>
          </w:tcPr>
          <w:p>
            <w:pPr>
              <w:spacing w:before="60" w:after="60" w:line="240" w:lineRule="auto"/>
              <w:jc w:val="center"/>
            </w:pPr>
            <w:r>
              <w:rPr>
                <w:rFonts w:ascii="Times New Roman" w:hAnsi="Times New Roman"/>
                <w:b/>
                <w:sz w:val="19"/>
              </w:rPr>
              <w:t>Validation Method</w:t>
            </w:r>
          </w:p>
        </w:tc>
        <w:tc>
          <w:tcPr>
            <w:tcW w:type="dxa" w:w="1296"/>
            <w:tcBorders>
              <w:bottom w:val="single" w:sz="12" w:space="0" w:color="000000"/>
            </w:tcBorders>
            <w:shd w:fill="F4F6F8"/>
          </w:tcPr>
          <w:p>
            <w:pPr>
              <w:spacing w:before="60" w:after="60" w:line="240" w:lineRule="auto"/>
              <w:jc w:val="center"/>
            </w:pPr>
            <w:r>
              <w:rPr>
                <w:rFonts w:ascii="Times New Roman" w:hAnsi="Times New Roman"/>
                <w:b/>
                <w:sz w:val="19"/>
              </w:rPr>
              <w:t>Metric 1 (Primary)</w:t>
            </w:r>
          </w:p>
        </w:tc>
        <w:tc>
          <w:tcPr>
            <w:tcW w:type="dxa" w:w="1296"/>
            <w:tcBorders>
              <w:bottom w:val="single" w:sz="12" w:space="0" w:color="000000"/>
            </w:tcBorders>
            <w:shd w:fill="F4F6F8"/>
          </w:tcPr>
          <w:p>
            <w:pPr>
              <w:spacing w:before="60" w:after="60" w:line="240" w:lineRule="auto"/>
              <w:jc w:val="center"/>
            </w:pPr>
            <w:r>
              <w:rPr>
                <w:rFonts w:ascii="Times New Roman" w:hAnsi="Times New Roman"/>
                <w:b/>
                <w:sz w:val="19"/>
              </w:rPr>
              <w:t>Metric 2 (Secondary)</w:t>
            </w:r>
          </w:p>
        </w:tc>
        <w:tc>
          <w:tcPr>
            <w:tcW w:type="dxa" w:w="2448"/>
            <w:tcBorders>
              <w:bottom w:val="single" w:sz="12" w:space="0" w:color="000000"/>
            </w:tcBorders>
            <w:shd w:fill="F4F6F8"/>
          </w:tcPr>
          <w:p>
            <w:pPr>
              <w:spacing w:before="60" w:after="60" w:line="240" w:lineRule="auto"/>
              <w:jc w:val="center"/>
            </w:pPr>
            <w:r>
              <w:rPr>
                <w:rFonts w:ascii="Times New Roman" w:hAnsi="Times New Roman"/>
                <w:b/>
                <w:sz w:val="19"/>
              </w:rPr>
              <w:t>Key Observation &amp; Best Model Selection</w:t>
            </w:r>
          </w:p>
        </w:tc>
      </w:tr>
      <w:tr>
        <w:tc>
          <w:tcPr>
            <w:tcW w:type="dxa" w:w="1728"/>
          </w:tcPr>
          <w:p>
            <w:pPr>
              <w:spacing w:before="40" w:after="40" w:line="252" w:lineRule="auto"/>
              <w:jc w:val="left"/>
            </w:pPr>
            <w:r>
              <w:rPr>
                <w:rFonts w:ascii="Times New Roman" w:hAnsi="Times New Roman"/>
                <w:sz w:val="18"/>
              </w:rPr>
              <w:t>Logistic Regression (Ridge L2 Baseline)</w:t>
            </w:r>
          </w:p>
        </w:tc>
        <w:tc>
          <w:tcPr>
            <w:tcW w:type="dxa" w:w="1728"/>
          </w:tcPr>
          <w:p>
            <w:pPr>
              <w:spacing w:before="40" w:after="40" w:line="252" w:lineRule="auto"/>
              <w:jc w:val="left"/>
            </w:pPr>
            <w:r>
              <w:rPr>
                <w:rFonts w:ascii="Times New Roman" w:hAnsi="Times New Roman"/>
                <w:sz w:val="18"/>
              </w:rPr>
              <w:t>Scaled Capacity_MW, Unit_Age, Control_Count + Fuel, Tech &amp; Region Dummies</w:t>
            </w:r>
          </w:p>
        </w:tc>
        <w:tc>
          <w:tcPr>
            <w:tcW w:type="dxa" w:w="1584"/>
          </w:tcPr>
          <w:p>
            <w:pPr>
              <w:spacing w:before="40" w:after="40" w:line="252" w:lineRule="auto"/>
              <w:jc w:val="left"/>
            </w:pPr>
            <w:r>
              <w:rPr>
                <w:rFonts w:ascii="Times New Roman" w:hAnsi="Times New Roman"/>
                <w:sz w:val="18"/>
              </w:rPr>
              <w:t>80/20 Split (3,240 Train / 810 Test); 5-Fold CV F1 = 0.7866</w:t>
            </w:r>
          </w:p>
        </w:tc>
        <w:tc>
          <w:tcPr>
            <w:tcW w:type="dxa" w:w="1296"/>
          </w:tcPr>
          <w:p>
            <w:pPr>
              <w:spacing w:before="40" w:after="40" w:line="252" w:lineRule="auto"/>
              <w:jc w:val="left"/>
            </w:pPr>
            <w:r>
              <w:rPr>
                <w:rFonts w:ascii="Times New Roman" w:hAnsi="Times New Roman"/>
                <w:sz w:val="18"/>
              </w:rPr>
              <w:t>Acc: 89.14%</w:t>
              <w:br/>
              <w:t>Prec: 73.39%</w:t>
              <w:br/>
              <w:t>Rec: 89.22%</w:t>
            </w:r>
          </w:p>
        </w:tc>
        <w:tc>
          <w:tcPr>
            <w:tcW w:type="dxa" w:w="1296"/>
          </w:tcPr>
          <w:p>
            <w:pPr>
              <w:spacing w:before="40" w:after="40" w:line="252" w:lineRule="auto"/>
              <w:jc w:val="left"/>
            </w:pPr>
            <w:r>
              <w:rPr>
                <w:rFonts w:ascii="Times New Roman" w:hAnsi="Times New Roman"/>
                <w:sz w:val="18"/>
              </w:rPr>
              <w:t>F1: 0.8053</w:t>
              <w:br/>
              <w:t>ROC-AUC: 0.9658</w:t>
            </w:r>
          </w:p>
        </w:tc>
        <w:tc>
          <w:tcPr>
            <w:tcW w:type="dxa" w:w="2448"/>
          </w:tcPr>
          <w:p>
            <w:pPr>
              <w:spacing w:before="40" w:after="40" w:line="252" w:lineRule="auto"/>
              <w:jc w:val="left"/>
            </w:pPr>
            <w:r>
              <w:rPr>
                <w:rFonts w:ascii="Times New Roman" w:hAnsi="Times New Roman"/>
                <w:sz w:val="18"/>
              </w:rPr>
              <w:t>Solid linear baseline (TN=540, FP=66, FN=22, TP=182), but linear boundary yields 66 false positives.</w:t>
            </w:r>
          </w:p>
        </w:tc>
      </w:tr>
      <w:tr>
        <w:tc>
          <w:tcPr>
            <w:tcW w:type="dxa" w:w="1728"/>
            <w:shd w:fill="FAFAFA"/>
          </w:tcPr>
          <w:p>
            <w:pPr>
              <w:spacing w:before="40" w:after="40" w:line="252" w:lineRule="auto"/>
              <w:jc w:val="left"/>
            </w:pPr>
            <w:r>
              <w:rPr>
                <w:rFonts w:ascii="Times New Roman" w:hAnsi="Times New Roman"/>
                <w:sz w:val="18"/>
              </w:rPr>
              <w:t>Random Forest Classifier (150 Trees, MDI) [Best Recall]</w:t>
            </w:r>
          </w:p>
        </w:tc>
        <w:tc>
          <w:tcPr>
            <w:tcW w:type="dxa" w:w="1728"/>
            <w:shd w:fill="FAFAFA"/>
          </w:tcPr>
          <w:p>
            <w:pPr>
              <w:spacing w:before="40" w:after="40" w:line="252" w:lineRule="auto"/>
              <w:jc w:val="left"/>
            </w:pPr>
            <w:r>
              <w:rPr>
                <w:rFonts w:ascii="Times New Roman" w:hAnsi="Times New Roman"/>
                <w:sz w:val="18"/>
              </w:rPr>
              <w:t>Full 18-Feature Matrix (Continuous + Categorical Dummies)</w:t>
            </w:r>
          </w:p>
        </w:tc>
        <w:tc>
          <w:tcPr>
            <w:tcW w:type="dxa" w:w="1584"/>
            <w:shd w:fill="FAFAFA"/>
          </w:tcPr>
          <w:p>
            <w:pPr>
              <w:spacing w:before="40" w:after="40" w:line="252" w:lineRule="auto"/>
              <w:jc w:val="left"/>
            </w:pPr>
            <w:r>
              <w:rPr>
                <w:rFonts w:ascii="Times New Roman" w:hAnsi="Times New Roman"/>
                <w:sz w:val="18"/>
              </w:rPr>
              <w:t>80/20 Split (3,240 Train / 810 Test); 5-Fold CV F1 = 0.8744</w:t>
            </w:r>
          </w:p>
        </w:tc>
        <w:tc>
          <w:tcPr>
            <w:tcW w:type="dxa" w:w="1296"/>
            <w:shd w:fill="FAFAFA"/>
          </w:tcPr>
          <w:p>
            <w:pPr>
              <w:spacing w:before="40" w:after="40" w:line="252" w:lineRule="auto"/>
              <w:jc w:val="left"/>
            </w:pPr>
            <w:r>
              <w:rPr>
                <w:rFonts w:ascii="Times New Roman" w:hAnsi="Times New Roman"/>
                <w:sz w:val="18"/>
              </w:rPr>
              <w:t>Acc: 93.95%</w:t>
              <w:br/>
              <w:t>Prec: 84.44%</w:t>
              <w:br/>
              <w:t>Rec: 93.14%</w:t>
            </w:r>
          </w:p>
        </w:tc>
        <w:tc>
          <w:tcPr>
            <w:tcW w:type="dxa" w:w="1296"/>
            <w:shd w:fill="FAFAFA"/>
          </w:tcPr>
          <w:p>
            <w:pPr>
              <w:spacing w:before="40" w:after="40" w:line="252" w:lineRule="auto"/>
              <w:jc w:val="left"/>
            </w:pPr>
            <w:r>
              <w:rPr>
                <w:rFonts w:ascii="Times New Roman" w:hAnsi="Times New Roman"/>
                <w:sz w:val="18"/>
              </w:rPr>
              <w:t>F1: 0.8858</w:t>
              <w:br/>
              <w:t>ROC-AUC: 0.9851</w:t>
            </w:r>
          </w:p>
        </w:tc>
        <w:tc>
          <w:tcPr>
            <w:tcW w:type="dxa" w:w="2448"/>
            <w:shd w:fill="FAFAFA"/>
          </w:tcPr>
          <w:p>
            <w:pPr>
              <w:spacing w:before="40" w:after="40" w:line="252" w:lineRule="auto"/>
              <w:jc w:val="left"/>
            </w:pPr>
            <w:r>
              <w:rPr>
                <w:rFonts w:ascii="Times New Roman" w:hAnsi="Times New Roman"/>
                <w:sz w:val="18"/>
              </w:rPr>
              <w:t>Highest sensitivity (93.14% recall): detects 190 of 204 high emitters (only 14 missed; TN=571, FP=35).</w:t>
            </w:r>
          </w:p>
        </w:tc>
      </w:tr>
      <w:tr>
        <w:tc>
          <w:tcPr>
            <w:tcW w:type="dxa" w:w="1728"/>
          </w:tcPr>
          <w:p>
            <w:pPr>
              <w:spacing w:before="40" w:after="40" w:line="252" w:lineRule="auto"/>
              <w:jc w:val="left"/>
            </w:pPr>
            <w:r>
              <w:rPr>
                <w:rFonts w:ascii="Times New Roman" w:hAnsi="Times New Roman"/>
                <w:sz w:val="18"/>
              </w:rPr>
              <w:t>Gradient Boosting (100 Trees, GBM) [Champion Model]</w:t>
            </w:r>
          </w:p>
        </w:tc>
        <w:tc>
          <w:tcPr>
            <w:tcW w:type="dxa" w:w="1728"/>
          </w:tcPr>
          <w:p>
            <w:pPr>
              <w:spacing w:before="40" w:after="40" w:line="252" w:lineRule="auto"/>
              <w:jc w:val="left"/>
            </w:pPr>
            <w:r>
              <w:rPr>
                <w:rFonts w:ascii="Times New Roman" w:hAnsi="Times New Roman"/>
                <w:sz w:val="18"/>
              </w:rPr>
              <w:t>Full 18-Feature Matrix (Continuous + Categorical Dummies)</w:t>
            </w:r>
          </w:p>
        </w:tc>
        <w:tc>
          <w:tcPr>
            <w:tcW w:type="dxa" w:w="1584"/>
          </w:tcPr>
          <w:p>
            <w:pPr>
              <w:spacing w:before="40" w:after="40" w:line="252" w:lineRule="auto"/>
              <w:jc w:val="left"/>
            </w:pPr>
            <w:r>
              <w:rPr>
                <w:rFonts w:ascii="Times New Roman" w:hAnsi="Times New Roman"/>
                <w:sz w:val="18"/>
              </w:rPr>
              <w:t>80/20 Split (3,240 Train / 810 Test); 5-Fold CV F1 = 0.9114</w:t>
            </w:r>
          </w:p>
        </w:tc>
        <w:tc>
          <w:tcPr>
            <w:tcW w:type="dxa" w:w="1296"/>
          </w:tcPr>
          <w:p>
            <w:pPr>
              <w:spacing w:before="40" w:after="40" w:line="252" w:lineRule="auto"/>
              <w:jc w:val="left"/>
            </w:pPr>
            <w:r>
              <w:rPr>
                <w:rFonts w:ascii="Times New Roman" w:hAnsi="Times New Roman"/>
                <w:sz w:val="18"/>
              </w:rPr>
              <w:t>Acc: 96.54%</w:t>
              <w:br/>
              <w:t>Prec: 94.44%</w:t>
              <w:br/>
              <w:t>Rec: 91.67%</w:t>
            </w:r>
          </w:p>
        </w:tc>
        <w:tc>
          <w:tcPr>
            <w:tcW w:type="dxa" w:w="1296"/>
          </w:tcPr>
          <w:p>
            <w:pPr>
              <w:spacing w:before="40" w:after="40" w:line="252" w:lineRule="auto"/>
              <w:jc w:val="left"/>
            </w:pPr>
            <w:r>
              <w:rPr>
                <w:rFonts w:ascii="Times New Roman" w:hAnsi="Times New Roman"/>
                <w:sz w:val="18"/>
              </w:rPr>
              <w:t>F1: 0.9303</w:t>
              <w:br/>
              <w:t>ROC-AUC: 0.9865</w:t>
            </w:r>
          </w:p>
        </w:tc>
        <w:tc>
          <w:tcPr>
            <w:tcW w:type="dxa" w:w="2448"/>
          </w:tcPr>
          <w:p>
            <w:pPr>
              <w:spacing w:before="40" w:after="40" w:line="252" w:lineRule="auto"/>
              <w:jc w:val="left"/>
            </w:pPr>
            <w:r>
              <w:rPr>
                <w:rFonts w:ascii="Times New Roman" w:hAnsi="Times New Roman"/>
                <w:sz w:val="18"/>
              </w:rPr>
              <w:t>Best overall classifier: 96.54% accuracy and 94.44% precision (TN=595, FP=11, FN=17, TP=187).</w:t>
            </w:r>
          </w:p>
        </w:tc>
      </w:tr>
      <w:tr>
        <w:tc>
          <w:tcPr>
            <w:tcW w:type="dxa" w:w="1728"/>
            <w:shd w:fill="FAFAFA"/>
          </w:tcPr>
          <w:p>
            <w:pPr>
              <w:spacing w:before="40" w:after="40" w:line="252" w:lineRule="auto"/>
              <w:jc w:val="left"/>
            </w:pPr>
            <w:r>
              <w:rPr>
                <w:rFonts w:ascii="Times New Roman" w:hAnsi="Times New Roman"/>
                <w:sz w:val="18"/>
              </w:rPr>
              <w:t>One-Way ANOVA &amp; Kruskal-Wallis (RQ1)</w:t>
            </w:r>
          </w:p>
        </w:tc>
        <w:tc>
          <w:tcPr>
            <w:tcW w:type="dxa" w:w="1728"/>
            <w:shd w:fill="FAFAFA"/>
          </w:tcPr>
          <w:p>
            <w:pPr>
              <w:spacing w:before="40" w:after="40" w:line="252" w:lineRule="auto"/>
              <w:jc w:val="left"/>
            </w:pPr>
            <w:r>
              <w:rPr>
                <w:rFonts w:ascii="Times New Roman" w:hAnsi="Times New Roman"/>
                <w:sz w:val="18"/>
              </w:rPr>
              <w:t>Primary Fuel Category (5 Classes) -&gt; Heat Input Rate</w:t>
            </w:r>
          </w:p>
        </w:tc>
        <w:tc>
          <w:tcPr>
            <w:tcW w:type="dxa" w:w="1584"/>
            <w:shd w:fill="FAFAFA"/>
          </w:tcPr>
          <w:p>
            <w:pPr>
              <w:spacing w:before="40" w:after="40" w:line="252" w:lineRule="auto"/>
              <w:jc w:val="left"/>
            </w:pPr>
            <w:r>
              <w:rPr>
                <w:rFonts w:ascii="Times New Roman" w:hAnsi="Times New Roman"/>
                <w:sz w:val="18"/>
              </w:rPr>
              <w:t>Full Fleet Population Inference (N = 4,050; df = 4, 4045)</w:t>
            </w:r>
          </w:p>
        </w:tc>
        <w:tc>
          <w:tcPr>
            <w:tcW w:type="dxa" w:w="1296"/>
            <w:shd w:fill="FAFAFA"/>
          </w:tcPr>
          <w:p>
            <w:pPr>
              <w:spacing w:before="40" w:after="40" w:line="252" w:lineRule="auto"/>
              <w:jc w:val="left"/>
            </w:pPr>
            <w:r>
              <w:rPr>
                <w:rFonts w:ascii="Times New Roman" w:hAnsi="Times New Roman"/>
                <w:sz w:val="18"/>
              </w:rPr>
              <w:t>ANOVA F = 542.36</w:t>
              <w:br/>
              <w:t>(p &lt; 0.0001)</w:t>
            </w:r>
          </w:p>
        </w:tc>
        <w:tc>
          <w:tcPr>
            <w:tcW w:type="dxa" w:w="1296"/>
            <w:shd w:fill="FAFAFA"/>
          </w:tcPr>
          <w:p>
            <w:pPr>
              <w:spacing w:before="40" w:after="40" w:line="252" w:lineRule="auto"/>
              <w:jc w:val="left"/>
            </w:pPr>
            <w:r>
              <w:rPr>
                <w:rFonts w:ascii="Times New Roman" w:hAnsi="Times New Roman"/>
                <w:sz w:val="18"/>
              </w:rPr>
              <w:t>η² = 0.3491</w:t>
              <w:br/>
              <w:t>KW H = 783.02</w:t>
            </w:r>
          </w:p>
        </w:tc>
        <w:tc>
          <w:tcPr>
            <w:tcW w:type="dxa" w:w="2448"/>
            <w:shd w:fill="FAFAFA"/>
          </w:tcPr>
          <w:p>
            <w:pPr>
              <w:spacing w:before="40" w:after="40" w:line="252" w:lineRule="auto"/>
              <w:jc w:val="left"/>
            </w:pPr>
            <w:r>
              <w:rPr>
                <w:rFonts w:ascii="Times New Roman" w:hAnsi="Times New Roman"/>
                <w:sz w:val="18"/>
              </w:rPr>
              <w:t>Fuel category explains 34.91% of total thermal variance; Coal exceeds Gas by +3,668.2 mmBtu/hr.</w:t>
            </w:r>
          </w:p>
        </w:tc>
      </w:tr>
      <w:tr>
        <w:tc>
          <w:tcPr>
            <w:tcW w:type="dxa" w:w="1728"/>
          </w:tcPr>
          <w:p>
            <w:pPr>
              <w:spacing w:before="40" w:after="40" w:line="252" w:lineRule="auto"/>
              <w:jc w:val="left"/>
            </w:pPr>
            <w:r>
              <w:rPr>
                <w:rFonts w:ascii="Times New Roman" w:hAnsi="Times New Roman"/>
                <w:sz w:val="18"/>
              </w:rPr>
              <w:t>Bivariate &amp; Multivariate OLS Regression (RQ3)</w:t>
            </w:r>
          </w:p>
        </w:tc>
        <w:tc>
          <w:tcPr>
            <w:tcW w:type="dxa" w:w="1728"/>
          </w:tcPr>
          <w:p>
            <w:pPr>
              <w:spacing w:before="40" w:after="40" w:line="252" w:lineRule="auto"/>
              <w:jc w:val="left"/>
            </w:pPr>
            <w:r>
              <w:rPr>
                <w:rFonts w:ascii="Times New Roman" w:hAnsi="Times New Roman"/>
                <w:sz w:val="18"/>
              </w:rPr>
              <w:t>Unit_Age, Capacity_MW, Control_Count -&gt; Heat Input Rate</w:t>
            </w:r>
          </w:p>
        </w:tc>
        <w:tc>
          <w:tcPr>
            <w:tcW w:type="dxa" w:w="1584"/>
          </w:tcPr>
          <w:p>
            <w:pPr>
              <w:spacing w:before="40" w:after="40" w:line="252" w:lineRule="auto"/>
              <w:jc w:val="left"/>
            </w:pPr>
            <w:r>
              <w:rPr>
                <w:rFonts w:ascii="Times New Roman" w:hAnsi="Times New Roman"/>
                <w:sz w:val="18"/>
              </w:rPr>
              <w:t>Full Fleet Econometric Estimation (N = 4,050; df = 4,046)</w:t>
            </w:r>
          </w:p>
        </w:tc>
        <w:tc>
          <w:tcPr>
            <w:tcW w:type="dxa" w:w="1296"/>
          </w:tcPr>
          <w:p>
            <w:pPr>
              <w:spacing w:before="40" w:after="40" w:line="252" w:lineRule="auto"/>
              <w:jc w:val="left"/>
            </w:pPr>
            <w:r>
              <w:rPr>
                <w:rFonts w:ascii="Times New Roman" w:hAnsi="Times New Roman"/>
                <w:sz w:val="18"/>
              </w:rPr>
              <w:t>Biv R² = 0.0141</w:t>
              <w:br/>
              <w:t>Multi R² = 0.7668</w:t>
            </w:r>
          </w:p>
        </w:tc>
        <w:tc>
          <w:tcPr>
            <w:tcW w:type="dxa" w:w="1296"/>
          </w:tcPr>
          <w:p>
            <w:pPr>
              <w:spacing w:before="40" w:after="40" w:line="252" w:lineRule="auto"/>
              <w:jc w:val="left"/>
            </w:pPr>
            <w:r>
              <w:rPr>
                <w:rFonts w:ascii="Times New Roman" w:hAnsi="Times New Roman"/>
                <w:sz w:val="18"/>
              </w:rPr>
              <w:t>Multi F = 4,434.8</w:t>
              <w:br/>
              <w:t>RMSE = 952.9</w:t>
            </w:r>
          </w:p>
        </w:tc>
        <w:tc>
          <w:tcPr>
            <w:tcW w:type="dxa" w:w="2448"/>
          </w:tcPr>
          <w:p>
            <w:pPr>
              <w:spacing w:before="40" w:after="40" w:line="252" w:lineRule="auto"/>
              <w:jc w:val="left"/>
            </w:pPr>
            <w:r>
              <w:rPr>
                <w:rFonts w:ascii="Times New Roman" w:hAnsi="Times New Roman"/>
                <w:sz w:val="18"/>
              </w:rPr>
              <w:t>Multivariate model explains 76.68% of variance; isolates positive bivariate age effect (+13.50) vs conditional (-5.05).</w:t>
            </w:r>
          </w:p>
        </w:tc>
      </w:tr>
      <w:tr>
        <w:tc>
          <w:tcPr>
            <w:tcW w:type="dxa" w:w="1728"/>
            <w:shd w:fill="FAFAFA"/>
          </w:tcPr>
          <w:p>
            <w:pPr>
              <w:spacing w:before="40" w:after="40" w:line="252" w:lineRule="auto"/>
              <w:jc w:val="left"/>
            </w:pPr>
            <w:r>
              <w:rPr>
                <w:rFonts w:ascii="Times New Roman" w:hAnsi="Times New Roman"/>
                <w:sz w:val="18"/>
              </w:rPr>
              <w:t>K-Means Clustering &amp; 2D PCA (RQ4)</w:t>
            </w:r>
          </w:p>
        </w:tc>
        <w:tc>
          <w:tcPr>
            <w:tcW w:type="dxa" w:w="1728"/>
            <w:shd w:fill="FAFAFA"/>
          </w:tcPr>
          <w:p>
            <w:pPr>
              <w:spacing w:before="40" w:after="40" w:line="252" w:lineRule="auto"/>
              <w:jc w:val="left"/>
            </w:pPr>
            <w:r>
              <w:rPr>
                <w:rFonts w:ascii="Times New Roman" w:hAnsi="Times New Roman"/>
                <w:sz w:val="18"/>
              </w:rPr>
              <w:t>Standardized Log_Capacity, Log_HI, Unit_Age, Control_Count</w:t>
            </w:r>
          </w:p>
        </w:tc>
        <w:tc>
          <w:tcPr>
            <w:tcW w:type="dxa" w:w="1584"/>
            <w:shd w:fill="FAFAFA"/>
          </w:tcPr>
          <w:p>
            <w:pPr>
              <w:spacing w:before="40" w:after="40" w:line="252" w:lineRule="auto"/>
              <w:jc w:val="left"/>
            </w:pPr>
            <w:r>
              <w:rPr>
                <w:rFonts w:ascii="Times New Roman" w:hAnsi="Times New Roman"/>
                <w:sz w:val="18"/>
              </w:rPr>
              <w:t>Full Fleet Unsupervised Optimization (N = 4,050; k ∈ [2..7])</w:t>
            </w:r>
          </w:p>
        </w:tc>
        <w:tc>
          <w:tcPr>
            <w:tcW w:type="dxa" w:w="1296"/>
            <w:shd w:fill="FAFAFA"/>
          </w:tcPr>
          <w:p>
            <w:pPr>
              <w:spacing w:before="40" w:after="40" w:line="252" w:lineRule="auto"/>
              <w:jc w:val="left"/>
            </w:pPr>
            <w:r>
              <w:rPr>
                <w:rFonts w:ascii="Times New Roman" w:hAnsi="Times New Roman"/>
                <w:sz w:val="18"/>
              </w:rPr>
              <w:t>Optimal k = 4</w:t>
              <w:br/>
              <w:t>WCSS = 4,807.4</w:t>
            </w:r>
          </w:p>
        </w:tc>
        <w:tc>
          <w:tcPr>
            <w:tcW w:type="dxa" w:w="1296"/>
            <w:shd w:fill="FAFAFA"/>
          </w:tcPr>
          <w:p>
            <w:pPr>
              <w:spacing w:before="40" w:after="40" w:line="252" w:lineRule="auto"/>
              <w:jc w:val="left"/>
            </w:pPr>
            <w:r>
              <w:rPr>
                <w:rFonts w:ascii="Times New Roman" w:hAnsi="Times New Roman"/>
                <w:sz w:val="18"/>
              </w:rPr>
              <w:t>Silhouette = 0.4431</w:t>
              <w:br/>
              <w:t>PCA Var = 80.19%</w:t>
            </w:r>
          </w:p>
        </w:tc>
        <w:tc>
          <w:tcPr>
            <w:tcW w:type="dxa" w:w="2448"/>
            <w:shd w:fill="FAFAFA"/>
          </w:tcPr>
          <w:p>
            <w:pPr>
              <w:spacing w:before="40" w:after="40" w:line="252" w:lineRule="auto"/>
              <w:jc w:val="left"/>
            </w:pPr>
            <w:r>
              <w:rPr>
                <w:rFonts w:ascii="Times New Roman" w:hAnsi="Times New Roman"/>
                <w:sz w:val="18"/>
              </w:rPr>
              <w:t>Partitions fleet into 4 distinct archetypes; Cluster 4 (Coal Baseload) exhibits 86.0% high-emitter concentration.</w:t>
            </w:r>
          </w:p>
        </w:tc>
      </w:tr>
    </w:tbl>
    <w:p>
      <w:pPr>
        <w:spacing w:before="60" w:after="240"/>
      </w:pPr>
      <w:r>
        <w:rPr>
          <w:rFonts w:ascii="Times New Roman" w:hAnsi="Times New Roman"/>
          <w:i/>
          <w:sz w:val="18"/>
        </w:rPr>
        <w:t xml:space="preserve">Note. </w:t>
      </w:r>
      <w:r>
        <w:rPr>
          <w:rFonts w:ascii="Times New Roman" w:hAnsi="Times New Roman"/>
          <w:sz w:val="18"/>
        </w:rPr>
        <w:t>Comprehensive comparison of training cross-validation and holdout test performance across all capstone models (N = 4,050 total; N = 810 holdout test).</w:t>
      </w:r>
    </w:p>
    <w:p>
      <w:pPr>
        <w:keepNext/>
        <w:spacing w:before="240" w:after="120"/>
        <w:jc w:val="left"/>
      </w:pPr>
      <w:r>
        <w:rPr>
          <w:rFonts w:ascii="Times New Roman" w:hAnsi="Times New Roman"/>
          <w:b/>
          <w:color w:val="19375F"/>
          <w:sz w:val="24"/>
        </w:rPr>
        <w:t>Visual Evidence</w:t>
      </w:r>
    </w:p>
    <w:p>
      <w:pPr>
        <w:spacing w:after="120" w:line="276" w:lineRule="auto"/>
        <w:jc w:val="left"/>
      </w:pPr>
      <w:r>
        <w:rPr>
          <w:rFonts w:ascii="Times New Roman" w:hAnsi="Times New Roman"/>
          <w:i w:val="0"/>
          <w:sz w:val="22"/>
        </w:rPr>
        <w:t>Figures 6 through 11 provide rigorous visual evidence of model discrimination, error structure, feature importance, regression fit, and cluster separation across the research questions. Every visual artifact is directly interpreted below.</w:t>
      </w:r>
    </w:p>
    <w:p>
      <w:pPr>
        <w:keepNext/>
        <w:spacing w:before="240" w:after="40"/>
      </w:pPr>
      <w:r>
        <w:rPr>
          <w:rFonts w:ascii="Times New Roman" w:hAnsi="Times New Roman"/>
          <w:b/>
          <w:sz w:val="22"/>
        </w:rPr>
        <w:t>Figure 6</w:t>
      </w:r>
    </w:p>
    <w:p>
      <w:pPr>
        <w:keepNext/>
        <w:spacing w:before="0" w:after="120"/>
      </w:pPr>
      <w:r>
        <w:rPr>
          <w:rFonts w:ascii="Times New Roman" w:hAnsi="Times New Roman"/>
          <w:i/>
          <w:sz w:val="22"/>
        </w:rPr>
        <w:t>Receiver Operating Characteristic (ROC) Curves for High-Emitter Classification (RQ2)</w:t>
      </w:r>
    </w:p>
    <w:p>
      <w:pPr>
        <w:keepNext/>
        <w:spacing w:after="80"/>
        <w:jc w:val="center"/>
      </w:pPr>
      <w:r>
        <w:drawing>
          <wp:inline xmlns:a="http://schemas.openxmlformats.org/drawingml/2006/main" xmlns:pic="http://schemas.openxmlformats.org/drawingml/2006/picture">
            <wp:extent cx="5486400" cy="4114800"/>
            <wp:docPr id="6" name="Picture 6"/>
            <wp:cNvGraphicFramePr>
              <a:graphicFrameLocks noChangeAspect="1"/>
            </wp:cNvGraphicFramePr>
            <a:graphic>
              <a:graphicData uri="http://schemas.openxmlformats.org/drawingml/2006/picture">
                <pic:pic>
                  <pic:nvPicPr>
                    <pic:cNvPr id="0" name="figure6_roc_curves.png"/>
                    <pic:cNvPicPr/>
                  </pic:nvPicPr>
                  <pic:blipFill>
                    <a:blip r:embed="rId16"/>
                    <a:stretch>
                      <a:fillRect/>
                    </a:stretch>
                  </pic:blipFill>
                  <pic:spPr>
                    <a:xfrm>
                      <a:off x="0" y="0"/>
                      <a:ext cx="5486400" cy="4114800"/>
                    </a:xfrm>
                    <a:prstGeom prst="rect"/>
                  </pic:spPr>
                </pic:pic>
              </a:graphicData>
            </a:graphic>
          </wp:inline>
        </w:drawing>
      </w:r>
    </w:p>
    <w:p>
      <w:pPr>
        <w:spacing w:before="40" w:after="240"/>
      </w:pPr>
      <w:r>
        <w:rPr>
          <w:rFonts w:ascii="Times New Roman" w:hAnsi="Times New Roman"/>
          <w:i/>
          <w:sz w:val="19"/>
        </w:rPr>
        <w:t xml:space="preserve">Note. </w:t>
      </w:r>
      <w:r>
        <w:rPr>
          <w:rFonts w:ascii="Times New Roman" w:hAnsi="Times New Roman"/>
          <w:sz w:val="19"/>
        </w:rPr>
        <w:t>Holdout test set (N = 810) ROC curves plotting True Positive Rate (Sensitivity) against False Positive Rate (1 - Specificity) for Gradient Boosting (AUC = 0.986), Random Forest (AUC = 0.985), and Logistic Regression (AUC = 0.966).</w:t>
      </w:r>
    </w:p>
    <w:p>
      <w:pPr>
        <w:spacing w:after="120" w:line="276" w:lineRule="auto"/>
        <w:jc w:val="left"/>
      </w:pPr>
      <w:r>
        <w:rPr>
          <w:rFonts w:ascii="Times New Roman" w:hAnsi="Times New Roman"/>
          <w:i w:val="0"/>
          <w:sz w:val="22"/>
        </w:rPr>
        <w:t>Figure 6 illustrates the Receiver Operating Characteristic (ROC) curves on the 810-unit holdout test set. Both tree-ensemble classifiers hug the upper-left corner of the unit square (Gradient Boosting AUC = 0.9865; Random Forest AUC = 0.9851), demonstrating near-ideal separability across all probability thresholds and substantially outperforming the linear Logistic Regression curve (AUC = 0.9658).</w:t>
      </w:r>
    </w:p>
    <w:p>
      <w:pPr>
        <w:keepNext/>
        <w:spacing w:before="240" w:after="40"/>
      </w:pPr>
      <w:r>
        <w:rPr>
          <w:rFonts w:ascii="Times New Roman" w:hAnsi="Times New Roman"/>
          <w:b/>
          <w:sz w:val="22"/>
        </w:rPr>
        <w:t>Figure 7</w:t>
      </w:r>
    </w:p>
    <w:p>
      <w:pPr>
        <w:keepNext/>
        <w:spacing w:before="0" w:after="120"/>
      </w:pPr>
      <w:r>
        <w:rPr>
          <w:rFonts w:ascii="Times New Roman" w:hAnsi="Times New Roman"/>
          <w:i/>
          <w:sz w:val="22"/>
        </w:rPr>
        <w:t>Confusion Matrices for Binary High-Emitter Classification Models (Test Set, N = 810)</w:t>
      </w:r>
    </w:p>
    <w:p>
      <w:pPr>
        <w:keepNext/>
        <w:spacing w:after="80"/>
        <w:jc w:val="center"/>
      </w:pPr>
      <w:r>
        <w:drawing>
          <wp:inline xmlns:a="http://schemas.openxmlformats.org/drawingml/2006/main" xmlns:pic="http://schemas.openxmlformats.org/drawingml/2006/picture">
            <wp:extent cx="5486400" cy="1724636"/>
            <wp:docPr id="7" name="Picture 7"/>
            <wp:cNvGraphicFramePr>
              <a:graphicFrameLocks noChangeAspect="1"/>
            </wp:cNvGraphicFramePr>
            <a:graphic>
              <a:graphicData uri="http://schemas.openxmlformats.org/drawingml/2006/picture">
                <pic:pic>
                  <pic:nvPicPr>
                    <pic:cNvPr id="0" name="figure7_confusion_matrices.png"/>
                    <pic:cNvPicPr/>
                  </pic:nvPicPr>
                  <pic:blipFill>
                    <a:blip r:embed="rId17"/>
                    <a:stretch>
                      <a:fillRect/>
                    </a:stretch>
                  </pic:blipFill>
                  <pic:spPr>
                    <a:xfrm>
                      <a:off x="0" y="0"/>
                      <a:ext cx="5486400" cy="1724636"/>
                    </a:xfrm>
                    <a:prstGeom prst="rect"/>
                  </pic:spPr>
                </pic:pic>
              </a:graphicData>
            </a:graphic>
          </wp:inline>
        </w:drawing>
      </w:r>
    </w:p>
    <w:p>
      <w:pPr>
        <w:spacing w:before="40" w:after="240"/>
      </w:pPr>
      <w:r>
        <w:rPr>
          <w:rFonts w:ascii="Times New Roman" w:hAnsi="Times New Roman"/>
          <w:i/>
          <w:sz w:val="19"/>
        </w:rPr>
        <w:t xml:space="preserve">Note. </w:t>
      </w:r>
      <w:r>
        <w:rPr>
          <w:rFonts w:ascii="Times New Roman" w:hAnsi="Times New Roman"/>
          <w:sz w:val="19"/>
        </w:rPr>
        <w:t>Out-of-sample confusion matrices displaying True Negatives (top-left), False Positives (top-right), False Negatives (bottom-left), and True Positives (bottom-right) across N = 810 holdout units (606 actual low emitters, 204 actual high emitters).</w:t>
      </w:r>
    </w:p>
    <w:p>
      <w:pPr>
        <w:spacing w:after="120" w:line="276" w:lineRule="auto"/>
        <w:jc w:val="left"/>
      </w:pPr>
      <w:r>
        <w:rPr>
          <w:rFonts w:ascii="Times New Roman" w:hAnsi="Times New Roman"/>
          <w:i w:val="0"/>
          <w:sz w:val="22"/>
        </w:rPr>
        <w:t>Figure 7 provides the exact holdout confusion matrices. Out of 606 actual low-emission units and 204 actual high-emission units in the test split, Gradient Boosting correctly classified 595 low emitters (only 11 false positives) and 187 high emitters (17 false negatives). Random Forest captured 190 of the 204 actual high emitters (reducing false negatives to just 14 units), whereas Logistic Regression generated 66 false-positive flags due to its inability to capture non-linear capacity-by-technology cutoffs.</w:t>
      </w:r>
    </w:p>
    <w:p>
      <w:pPr>
        <w:keepNext/>
        <w:spacing w:before="240" w:after="40"/>
      </w:pPr>
      <w:r>
        <w:rPr>
          <w:rFonts w:ascii="Times New Roman" w:hAnsi="Times New Roman"/>
          <w:b/>
          <w:sz w:val="22"/>
        </w:rPr>
        <w:t>Figure 8</w:t>
      </w:r>
    </w:p>
    <w:p>
      <w:pPr>
        <w:keepNext/>
        <w:spacing w:before="0" w:after="120"/>
      </w:pPr>
      <w:r>
        <w:rPr>
          <w:rFonts w:ascii="Times New Roman" w:hAnsi="Times New Roman"/>
          <w:i/>
          <w:sz w:val="22"/>
        </w:rPr>
        <w:t>Top Predictors of High-Emission Generating Units (Random Forest Gini Importance)</w:t>
      </w:r>
    </w:p>
    <w:p>
      <w:pPr>
        <w:keepNext/>
        <w:spacing w:after="80"/>
        <w:jc w:val="center"/>
      </w:pPr>
      <w:r>
        <w:drawing>
          <wp:inline xmlns:a="http://schemas.openxmlformats.org/drawingml/2006/main" xmlns:pic="http://schemas.openxmlformats.org/drawingml/2006/picture">
            <wp:extent cx="5486400" cy="3227294"/>
            <wp:docPr id="8" name="Picture 8"/>
            <wp:cNvGraphicFramePr>
              <a:graphicFrameLocks noChangeAspect="1"/>
            </wp:cNvGraphicFramePr>
            <a:graphic>
              <a:graphicData uri="http://schemas.openxmlformats.org/drawingml/2006/picture">
                <pic:pic>
                  <pic:nvPicPr>
                    <pic:cNvPr id="0" name="figure8_feature_importance.png"/>
                    <pic:cNvPicPr/>
                  </pic:nvPicPr>
                  <pic:blipFill>
                    <a:blip r:embed="rId18"/>
                    <a:stretch>
                      <a:fillRect/>
                    </a:stretch>
                  </pic:blipFill>
                  <pic:spPr>
                    <a:xfrm>
                      <a:off x="0" y="0"/>
                      <a:ext cx="5486400" cy="3227294"/>
                    </a:xfrm>
                    <a:prstGeom prst="rect"/>
                  </pic:spPr>
                </pic:pic>
              </a:graphicData>
            </a:graphic>
          </wp:inline>
        </w:drawing>
      </w:r>
    </w:p>
    <w:p>
      <w:pPr>
        <w:spacing w:before="40" w:after="240"/>
      </w:pPr>
      <w:r>
        <w:rPr>
          <w:rFonts w:ascii="Times New Roman" w:hAnsi="Times New Roman"/>
          <w:i/>
          <w:sz w:val="19"/>
        </w:rPr>
        <w:t xml:space="preserve">Note. </w:t>
      </w:r>
      <w:r>
        <w:rPr>
          <w:rFonts w:ascii="Times New Roman" w:hAnsi="Times New Roman"/>
          <w:sz w:val="19"/>
        </w:rPr>
        <w:t>Mean Decrease in Impurity (Gini importance) rankings across the top 10 features in the 150-tree Random Forest ensemble.</w:t>
      </w:r>
    </w:p>
    <w:p>
      <w:pPr>
        <w:spacing w:after="120" w:line="276" w:lineRule="auto"/>
        <w:jc w:val="left"/>
      </w:pPr>
      <w:r>
        <w:rPr>
          <w:rFonts w:ascii="Times New Roman" w:hAnsi="Times New Roman"/>
          <w:i w:val="0"/>
          <w:sz w:val="22"/>
        </w:rPr>
        <w:t>Figure 8 ranks the underlying predictive drivers via Random Forest Mean Decrease in Impurity (MDI). Installed electrical capacity (Capacity_MW) is the dominant predictor (55.84% of total Gini reduction), followed by simple-cycle Combustion Turbine technology (15.75%), operating vintage Unit_Age (10.11%), multi-pollutant Control_Count (5.92%), Coal fuel classification (3.45%), and Combined Cycle technology (2.41%). This confirms that physical generator scale, thermodynamic cycle type, and unit vintage jointly govern high-emission risk.</w:t>
      </w:r>
    </w:p>
    <w:p>
      <w:pPr>
        <w:keepNext/>
        <w:spacing w:before="240" w:after="40"/>
      </w:pPr>
      <w:r>
        <w:rPr>
          <w:rFonts w:ascii="Times New Roman" w:hAnsi="Times New Roman"/>
          <w:b/>
          <w:sz w:val="22"/>
        </w:rPr>
        <w:t>Figure 9</w:t>
      </w:r>
    </w:p>
    <w:p>
      <w:pPr>
        <w:keepNext/>
        <w:spacing w:before="0" w:after="120"/>
      </w:pPr>
      <w:r>
        <w:rPr>
          <w:rFonts w:ascii="Times New Roman" w:hAnsi="Times New Roman"/>
          <w:i/>
          <w:sz w:val="22"/>
        </w:rPr>
        <w:t>Relationship Between Generating Unit Age and Heat Input Capacity (RQ3)</w:t>
      </w:r>
    </w:p>
    <w:p>
      <w:pPr>
        <w:keepNext/>
        <w:spacing w:after="80"/>
        <w:jc w:val="center"/>
      </w:pPr>
      <w:r>
        <w:drawing>
          <wp:inline xmlns:a="http://schemas.openxmlformats.org/drawingml/2006/main" xmlns:pic="http://schemas.openxmlformats.org/drawingml/2006/picture">
            <wp:extent cx="5486400" cy="3352800"/>
            <wp:docPr id="9" name="Picture 9"/>
            <wp:cNvGraphicFramePr>
              <a:graphicFrameLocks noChangeAspect="1"/>
            </wp:cNvGraphicFramePr>
            <a:graphic>
              <a:graphicData uri="http://schemas.openxmlformats.org/drawingml/2006/picture">
                <pic:pic>
                  <pic:nvPicPr>
                    <pic:cNvPr id="0" name="figure5_age_vs_heat_input_scatter.png"/>
                    <pic:cNvPicPr/>
                  </pic:nvPicPr>
                  <pic:blipFill>
                    <a:blip r:embed="rId19"/>
                    <a:stretch>
                      <a:fillRect/>
                    </a:stretch>
                  </pic:blipFill>
                  <pic:spPr>
                    <a:xfrm>
                      <a:off x="0" y="0"/>
                      <a:ext cx="5486400" cy="3352800"/>
                    </a:xfrm>
                    <a:prstGeom prst="rect"/>
                  </pic:spPr>
                </pic:pic>
              </a:graphicData>
            </a:graphic>
          </wp:inline>
        </w:drawing>
      </w:r>
    </w:p>
    <w:p>
      <w:pPr>
        <w:spacing w:before="40" w:after="240"/>
      </w:pPr>
      <w:r>
        <w:rPr>
          <w:rFonts w:ascii="Times New Roman" w:hAnsi="Times New Roman"/>
          <w:i/>
          <w:sz w:val="19"/>
        </w:rPr>
        <w:t xml:space="preserve">Note. </w:t>
      </w:r>
      <w:r>
        <w:rPr>
          <w:rFonts w:ascii="Times New Roman" w:hAnsi="Times New Roman"/>
          <w:sz w:val="19"/>
        </w:rPr>
        <w:t>Scatter plot of N = 4,050 generating units with fitted bivariate OLS regression line (red) and 95% confidence interval. Linear fit: HI = 1457.3 + 13.50 × Age (r = 0.119, p &lt; 0.001).</w:t>
      </w:r>
    </w:p>
    <w:p>
      <w:pPr>
        <w:spacing w:after="120" w:line="276" w:lineRule="auto"/>
        <w:jc w:val="left"/>
      </w:pPr>
      <w:r>
        <w:rPr>
          <w:rFonts w:ascii="Times New Roman" w:hAnsi="Times New Roman"/>
          <w:i w:val="0"/>
          <w:sz w:val="22"/>
        </w:rPr>
        <w:t>Figure 9 depicts the bivariate relationship between Unit_Age and Heat_Input_Rate (RQ3). The positive OLS regression slope (β_Age = +13.50 mmBtu/hr per year, p &lt; 0.0001) visually demonstrates that older cohorts (40–70 years old) contain a dense upper stratum of massive baseload boilers exceeding 5,000 mmBtu/hr, whereas units constructed within the past 25 years cluster heavily below 3,500 mmBtu/hr.</w:t>
      </w:r>
    </w:p>
    <w:p>
      <w:pPr>
        <w:keepNext/>
        <w:spacing w:before="240" w:after="40"/>
      </w:pPr>
      <w:r>
        <w:rPr>
          <w:rFonts w:ascii="Times New Roman" w:hAnsi="Times New Roman"/>
          <w:b/>
          <w:sz w:val="22"/>
        </w:rPr>
        <w:t>Figure 10</w:t>
      </w:r>
    </w:p>
    <w:p>
      <w:pPr>
        <w:keepNext/>
        <w:spacing w:before="0" w:after="120"/>
      </w:pPr>
      <w:r>
        <w:rPr>
          <w:rFonts w:ascii="Times New Roman" w:hAnsi="Times New Roman"/>
          <w:i/>
          <w:sz w:val="22"/>
        </w:rPr>
        <w:t>Unsupervised Cluster Optimization Metrics (RQ4)</w:t>
      </w:r>
    </w:p>
    <w:p>
      <w:pPr>
        <w:keepNext/>
        <w:spacing w:after="80"/>
        <w:jc w:val="center"/>
      </w:pPr>
      <w:r>
        <w:drawing>
          <wp:inline xmlns:a="http://schemas.openxmlformats.org/drawingml/2006/main" xmlns:pic="http://schemas.openxmlformats.org/drawingml/2006/picture">
            <wp:extent cx="5486400" cy="2333529"/>
            <wp:docPr id="10" name="Picture 10"/>
            <wp:cNvGraphicFramePr>
              <a:graphicFrameLocks noChangeAspect="1"/>
            </wp:cNvGraphicFramePr>
            <a:graphic>
              <a:graphicData uri="http://schemas.openxmlformats.org/drawingml/2006/picture">
                <pic:pic>
                  <pic:nvPicPr>
                    <pic:cNvPr id="0" name="figure9_kmeans_elbow_silhouette.png"/>
                    <pic:cNvPicPr/>
                  </pic:nvPicPr>
                  <pic:blipFill>
                    <a:blip r:embed="rId20"/>
                    <a:stretch>
                      <a:fillRect/>
                    </a:stretch>
                  </pic:blipFill>
                  <pic:spPr>
                    <a:xfrm>
                      <a:off x="0" y="0"/>
                      <a:ext cx="5486400" cy="2333529"/>
                    </a:xfrm>
                    <a:prstGeom prst="rect"/>
                  </pic:spPr>
                </pic:pic>
              </a:graphicData>
            </a:graphic>
          </wp:inline>
        </w:drawing>
      </w:r>
    </w:p>
    <w:p>
      <w:pPr>
        <w:spacing w:before="40" w:after="240"/>
      </w:pPr>
      <w:r>
        <w:rPr>
          <w:rFonts w:ascii="Times New Roman" w:hAnsi="Times New Roman"/>
          <w:i/>
          <w:sz w:val="19"/>
        </w:rPr>
        <w:t xml:space="preserve">Note. </w:t>
      </w:r>
      <w:r>
        <w:rPr>
          <w:rFonts w:ascii="Times New Roman" w:hAnsi="Times New Roman"/>
          <w:sz w:val="19"/>
        </w:rPr>
        <w:t>Panel A plots Within-Cluster Sum of Squares (WCSS / Inertia) across k = 2 to 7. Panel B plots average Silhouette Coefficient across k = 2 to 7, confirming k = 4 (s = 0.4431) as the optimal operational partition.</w:t>
      </w:r>
    </w:p>
    <w:p>
      <w:pPr>
        <w:keepNext/>
        <w:spacing w:before="240" w:after="40"/>
      </w:pPr>
      <w:r>
        <w:rPr>
          <w:rFonts w:ascii="Times New Roman" w:hAnsi="Times New Roman"/>
          <w:b/>
          <w:sz w:val="22"/>
        </w:rPr>
        <w:t>Figure 11</w:t>
      </w:r>
    </w:p>
    <w:p>
      <w:pPr>
        <w:keepNext/>
        <w:spacing w:before="0" w:after="120"/>
      </w:pPr>
      <w:r>
        <w:rPr>
          <w:rFonts w:ascii="Times New Roman" w:hAnsi="Times New Roman"/>
          <w:i/>
          <w:sz w:val="22"/>
        </w:rPr>
        <w:t>PCA 2D Projection of Operational Fleet Clusters (RQ4)</w:t>
      </w:r>
    </w:p>
    <w:p>
      <w:pPr>
        <w:keepNext/>
        <w:spacing w:after="80"/>
        <w:jc w:val="center"/>
      </w:pPr>
      <w:r>
        <w:drawing>
          <wp:inline xmlns:a="http://schemas.openxmlformats.org/drawingml/2006/main" xmlns:pic="http://schemas.openxmlformats.org/drawingml/2006/picture">
            <wp:extent cx="5486400" cy="3657600"/>
            <wp:docPr id="11" name="Picture 11"/>
            <wp:cNvGraphicFramePr>
              <a:graphicFrameLocks noChangeAspect="1"/>
            </wp:cNvGraphicFramePr>
            <a:graphic>
              <a:graphicData uri="http://schemas.openxmlformats.org/drawingml/2006/picture">
                <pic:pic>
                  <pic:nvPicPr>
                    <pic:cNvPr id="0" name="figure10_pca_clusters.png"/>
                    <pic:cNvPicPr/>
                  </pic:nvPicPr>
                  <pic:blipFill>
                    <a:blip r:embed="rId21"/>
                    <a:stretch>
                      <a:fillRect/>
                    </a:stretch>
                  </pic:blipFill>
                  <pic:spPr>
                    <a:xfrm>
                      <a:off x="0" y="0"/>
                      <a:ext cx="5486400" cy="3657600"/>
                    </a:xfrm>
                    <a:prstGeom prst="rect"/>
                  </pic:spPr>
                </pic:pic>
              </a:graphicData>
            </a:graphic>
          </wp:inline>
        </w:drawing>
      </w:r>
    </w:p>
    <w:p>
      <w:pPr>
        <w:spacing w:before="40" w:after="240"/>
      </w:pPr>
      <w:r>
        <w:rPr>
          <w:rFonts w:ascii="Times New Roman" w:hAnsi="Times New Roman"/>
          <w:i/>
          <w:sz w:val="19"/>
        </w:rPr>
        <w:t xml:space="preserve">Note. </w:t>
      </w:r>
      <w:r>
        <w:rPr>
          <w:rFonts w:ascii="Times New Roman" w:hAnsi="Times New Roman"/>
          <w:sz w:val="19"/>
        </w:rPr>
        <w:t>Projection of N = 4,050 generating units onto Principal Component 1 (44.88% variance: physical scale &amp; heat input) and Principal Component 2 (35.31% variance: unit vintage &amp; pollution controls), capturing 80.19% cumulative variance. Black 'X' markers denote cluster centroids.</w:t>
      </w:r>
    </w:p>
    <w:p>
      <w:pPr>
        <w:spacing w:after="120" w:line="276" w:lineRule="auto"/>
        <w:jc w:val="left"/>
      </w:pPr>
      <w:r>
        <w:rPr>
          <w:rFonts w:ascii="Times New Roman" w:hAnsi="Times New Roman"/>
          <w:i w:val="0"/>
          <w:sz w:val="22"/>
        </w:rPr>
        <w:t>Figures 10 and 11 validate the unsupervised segmentation in RQ4. Figure 10 demonstrates a clear WCSS elbow inflection at k = 4 accompanied by a strong Silhouette coefficient of s = 0.4431. Figure 11 projects the four clusters onto the first two principal components (80.19% total variance explained), visually confirming tight intra-cluster cohesion and crisp geometric separation across the four centroids.</w:t>
      </w:r>
    </w:p>
    <w:p>
      <w:pPr>
        <w:keepNext/>
        <w:spacing w:before="240" w:after="120"/>
        <w:jc w:val="left"/>
      </w:pPr>
      <w:r>
        <w:rPr>
          <w:rFonts w:ascii="Times New Roman" w:hAnsi="Times New Roman"/>
          <w:b/>
          <w:color w:val="19375F"/>
          <w:sz w:val="24"/>
        </w:rPr>
        <w:t>Results by Research Question</w:t>
      </w:r>
    </w:p>
    <w:p>
      <w:pPr>
        <w:keepNext/>
        <w:spacing w:before="160" w:after="80"/>
        <w:jc w:val="left"/>
      </w:pPr>
      <w:r>
        <w:rPr>
          <w:rFonts w:ascii="Times New Roman" w:hAnsi="Times New Roman"/>
          <w:b/>
          <w:i/>
          <w:color w:val="282828"/>
          <w:sz w:val="22"/>
        </w:rPr>
        <w:t>RQ1: Fuel Category Influence on Thermal Heat Input Rate (F = 542.36, p &lt; 0.0001)</w:t>
      </w:r>
    </w:p>
    <w:p>
      <w:pPr>
        <w:spacing w:after="120" w:line="276" w:lineRule="auto"/>
        <w:jc w:val="left"/>
      </w:pPr>
      <w:r>
        <w:rPr>
          <w:rFonts w:ascii="Times New Roman" w:hAnsi="Times New Roman"/>
          <w:i w:val="0"/>
          <w:sz w:val="22"/>
        </w:rPr>
        <w:t>One-Way ANOVA across the N = 4,050 generating units rejected the null hypothesis (H₀) of equal group means with overwhelming statistical significance: F(4, 4045) = 542.36, p &lt; 0.0001 (exact p = 1.63 × 10⁻¹⁹⁸). The Eta-squared effect size is η² = 0.3491, proving that primary fuel category alone accounts for 34.91% of total national variance in maximum hourly heat input capacity—more than double Cohen's (1988) threshold (0.14) for a large effect size. Non-parametric Kruskal-Wallis testing corroborated this result without distributional assumptions: H(4) = 783.02, p = 3.66 × 10⁻¹⁶⁸. Tukey HSD post-hoc pairwise comparisons (reported in full in Appendix C, Table C1) confirm that Coal units (Mean = 5,221.2 mmBtu/hr, SD = 3,270.3, N = 424) exceed Natural Gas units (Mean = 1,553.0 mmBtu/hr, SD = 1,280.9, N = 3,247) by +3,668.2 mmBtu/hr (p &lt; 0.0001), exceed Oil/Diesel units (Mean = 776.6 mmBtu/hr, SD = 1,071.9, N = 312) by +4,444.5 mmBtu/hr (p &lt; 0.0001), and exceed Biomass units (Mean = 737.4 mmBtu/hr, SD = 409.0, N = 23) by +4,483.8 mmBtu/hr (p &lt; 0.0001). Natural Gas units also significantly exceed Oil/Diesel units by +776.4 mmBtu/hr (p &lt; 0.0001). Supporting Evidence: Figure 1, Table 8, and Appendix C (Table C1).</w:t>
      </w:r>
    </w:p>
    <w:p>
      <w:pPr>
        <w:keepNext/>
        <w:spacing w:before="160" w:after="80"/>
        <w:jc w:val="left"/>
      </w:pPr>
      <w:r>
        <w:rPr>
          <w:rFonts w:ascii="Times New Roman" w:hAnsi="Times New Roman"/>
          <w:b/>
          <w:i/>
          <w:color w:val="282828"/>
          <w:sz w:val="22"/>
        </w:rPr>
        <w:t>RQ2: Predictive Classification of High-Emission Units (GBM Accuracy = 96.54%, AUC = 0.9865)</w:t>
      </w:r>
    </w:p>
    <w:p>
      <w:pPr>
        <w:spacing w:after="120" w:line="276" w:lineRule="auto"/>
        <w:jc w:val="left"/>
      </w:pPr>
      <w:r>
        <w:rPr>
          <w:rFonts w:ascii="Times New Roman" w:hAnsi="Times New Roman"/>
          <w:i w:val="0"/>
          <w:sz w:val="22"/>
        </w:rPr>
        <w:t>Supervised classification models trained on the 3,240-unit training partition and evaluated on the 810-unit holdout test set decisively rejected H₀ at α = 0.05. Gradient Boosting achieved a 5-fold cross-validated training F1 of 0.9114 and holdout test Accuracy of 96.54%, Precision of 94.44%, Recall of 91.67%, F1-Score of 0.9303, and ROC-AUC of 0.9865. Random Forest achieved a 5-fold CV F1 of 0.8744 and holdout test Accuracy of 93.95%, Precision of 84.44%, Recall of 93.14%, F1-Score of 0.8858, and ROC-AUC of 0.9851. Both ensemble methods substantially outperformed regularized Logistic Regression (Test Accuracy = 89.14%, Precision = 73.39%, Recall = 89.22%, F1 = 0.8053, ROC-AUC = 0.9658). Feature importance extraction (Figure 8) revealed that Capacity_MW (55.84%), Combustion Turbine architecture (15.75%), Unit_Age (10.11%), Control_Count (5.92%), and Coal fuel (3.45%) account for over 91% of predictive splitting power. Supporting Evidence: Figures 6, 7, and 8; Table 8.</w:t>
      </w:r>
    </w:p>
    <w:p>
      <w:pPr>
        <w:keepNext/>
        <w:spacing w:before="160" w:after="80"/>
        <w:jc w:val="left"/>
      </w:pPr>
      <w:r>
        <w:rPr>
          <w:rFonts w:ascii="Times New Roman" w:hAnsi="Times New Roman"/>
          <w:b/>
          <w:i/>
          <w:color w:val="282828"/>
          <w:sz w:val="22"/>
        </w:rPr>
        <w:t>RQ3: Econometric Relationship Between Unit Age and Thermal Intensity (Multi R² = 0.7668)</w:t>
      </w:r>
    </w:p>
    <w:p>
      <w:pPr>
        <w:spacing w:after="120" w:line="276" w:lineRule="auto"/>
        <w:jc w:val="left"/>
      </w:pPr>
      <w:r>
        <w:rPr>
          <w:rFonts w:ascii="Times New Roman" w:hAnsi="Times New Roman"/>
          <w:i w:val="0"/>
          <w:sz w:val="22"/>
        </w:rPr>
        <w:t>Bivariate and multivariate OLS estimations across all N = 4,050 units rejected H₀ (β_Age = 0) at p &lt; 0.0001 while uncovering a vital econometric confounding dynamic. In bivariate analysis, Unit_Age exhibits a statistically significant positive linear correlation with Heat_Input_Rate (Pearson r = +0.1186, p = 3.74 × 10⁻¹⁴) and a Simple OLS slope of β_Age = +13.50 mmBtu/hr per year (SE = 1.78, t = 7.62, p &lt; 0.0001; Intercept = 1456.1; R² = 0.0141, F(1, 4048) = 57.72, RMSE = 1,959.5 mmBtu/hr). However, when controlling for installed electrical capacity (Capacity_MW) and pollution abatement count (Control_Count) in Multivariate OLS, explanatory power surges to R² = 0.7668 (Adjusted R² = 0.7666, F(3, 4046) = 4,434.8, p &lt; 0.0001, RMSE = 952.9 mmBtu/hr, MAE = 621.1 mmBtu/hr). In this controlled specification (Heat_Input_Rate = -101.40 - 5.05·Unit_Age + 6.26·Capacity_MW + 282.89·Control_Count), Capacity_MW (+6.26 mmBtu/hr per MWe, p &lt; 0.0001) and Control_Count (+282.89 mmBtu/hr per control system, p &lt; 0.0001) are strongly positive, while the partial slope of Unit_Age reverses to β_Age = -5.05 mmBtu/hr per year (p &lt; 0.0001). This proves that older units exhibit higher raw thermal loads in bivariate space because surviving legacy units are disproportionately massive coal steam plants; holding megawatt scale constant, modern combined cycle facilities pack higher thermal throughput per unit. Supporting Evidence: Figures 4 and 9; Table 8.</w:t>
      </w:r>
    </w:p>
    <w:p>
      <w:pPr>
        <w:keepNext/>
        <w:spacing w:before="160" w:after="80"/>
        <w:jc w:val="left"/>
      </w:pPr>
      <w:r>
        <w:rPr>
          <w:rFonts w:ascii="Times New Roman" w:hAnsi="Times New Roman"/>
          <w:b/>
          <w:i/>
          <w:color w:val="282828"/>
          <w:sz w:val="22"/>
        </w:rPr>
        <w:t>RQ4: Unsupervised Fleet Segmentation and Archetype Profiling (k = 4, Silhouette = 0.4431)</w:t>
      </w:r>
    </w:p>
    <w:p>
      <w:pPr>
        <w:spacing w:after="120" w:line="276" w:lineRule="auto"/>
        <w:jc w:val="left"/>
      </w:pPr>
      <w:r>
        <w:rPr>
          <w:rFonts w:ascii="Times New Roman" w:hAnsi="Times New Roman"/>
          <w:i w:val="0"/>
          <w:sz w:val="22"/>
        </w:rPr>
        <w:t>K-Means clustering across standardized Log_Capacity, Log_Heat_Input, Unit_Age, and Control_Count rejected H₀, identifying k = 4 distinct operational archetypes with a Silhouette coefficient of s = 0.4431 and 2D PCA cumulative explained variance of 80.19% (PC1 = 54.57% capturing physical scale and thermal load; PC2 = 25.62% capturing unit vintage and abatement density; full eigenvector loadings in Appendix D, Table D1). Table 9 details the empirical profiles of the four fleet clusters across all 4,050 generating units.</w:t>
      </w:r>
    </w:p>
    <w:p>
      <w:pPr>
        <w:keepNext/>
        <w:spacing w:before="240" w:after="40"/>
      </w:pPr>
      <w:r>
        <w:rPr>
          <w:rFonts w:ascii="Times New Roman" w:hAnsi="Times New Roman"/>
          <w:b/>
          <w:sz w:val="22"/>
        </w:rPr>
        <w:t>Table 9</w:t>
      </w:r>
    </w:p>
    <w:p>
      <w:pPr>
        <w:keepNext/>
        <w:spacing w:before="0" w:after="120"/>
      </w:pPr>
      <w:r>
        <w:rPr>
          <w:rFonts w:ascii="Times New Roman" w:hAnsi="Times New Roman"/>
          <w:i/>
          <w:sz w:val="22"/>
        </w:rPr>
        <w:t>Fleet Operational Archetypes and Environmental Risk Clusters (RQ4)</w:t>
      </w:r>
    </w:p>
    <w:tbl>
      <w:tblPr>
        <w:tblW w:type="auto" w:w="0"/>
        <w:tblLook w:firstColumn="1" w:firstRow="1" w:lastColumn="0" w:lastRow="0" w:noHBand="0" w:noVBand="1" w:val="04A0"/>
        <w:jc w:val="center"/>
        <w:tblBorders>
          <w:top w:val="single" w:sz="12" w:space="0" w:color="000000"/>
          <w:bottom w:val="single" w:sz="12" w:space="0" w:color="000000"/>
          <w:insideH w:val="single" w:sz="4" w:space="0" w:color="E5E5E5"/>
          <w:insideV w:val="none"/>
          <w:left w:val="none"/>
          <w:right w:val="none"/>
        </w:tblBorders>
      </w:tblPr>
      <w:tblGrid>
        <w:gridCol w:w="1040"/>
        <w:gridCol w:w="1040"/>
        <w:gridCol w:w="1040"/>
        <w:gridCol w:w="1040"/>
        <w:gridCol w:w="1040"/>
        <w:gridCol w:w="1040"/>
        <w:gridCol w:w="1040"/>
        <w:gridCol w:w="1040"/>
        <w:gridCol w:w="1040"/>
      </w:tblGrid>
      <w:tr>
        <w:trPr>
          <w:tblHeader/>
        </w:trPr>
        <w:tc>
          <w:tcPr>
            <w:tcW w:type="dxa" w:w="1872"/>
            <w:tcBorders>
              <w:bottom w:val="single" w:sz="12" w:space="0" w:color="000000"/>
            </w:tcBorders>
            <w:shd w:fill="F4F6F8"/>
          </w:tcPr>
          <w:p>
            <w:pPr>
              <w:spacing w:before="60" w:after="60" w:line="240" w:lineRule="auto"/>
              <w:jc w:val="center"/>
            </w:pPr>
            <w:r>
              <w:rPr>
                <w:rFonts w:ascii="Times New Roman" w:hAnsi="Times New Roman"/>
                <w:b/>
                <w:sz w:val="19"/>
              </w:rPr>
              <w:t>Cluster Designation</w:t>
            </w:r>
          </w:p>
        </w:tc>
        <w:tc>
          <w:tcPr>
            <w:tcW w:type="dxa" w:w="1152"/>
            <w:tcBorders>
              <w:bottom w:val="single" w:sz="12" w:space="0" w:color="000000"/>
            </w:tcBorders>
            <w:shd w:fill="F4F6F8"/>
          </w:tcPr>
          <w:p>
            <w:pPr>
              <w:spacing w:before="60" w:after="60" w:line="240" w:lineRule="auto"/>
              <w:jc w:val="center"/>
            </w:pPr>
            <w:r>
              <w:rPr>
                <w:rFonts w:ascii="Times New Roman" w:hAnsi="Times New Roman"/>
                <w:b/>
                <w:sz w:val="19"/>
              </w:rPr>
              <w:t>Fleet Share</w:t>
            </w:r>
          </w:p>
        </w:tc>
        <w:tc>
          <w:tcPr>
            <w:tcW w:type="dxa" w:w="1008"/>
            <w:tcBorders>
              <w:bottom w:val="single" w:sz="12" w:space="0" w:color="000000"/>
            </w:tcBorders>
            <w:shd w:fill="F4F6F8"/>
          </w:tcPr>
          <w:p>
            <w:pPr>
              <w:spacing w:before="60" w:after="60" w:line="240" w:lineRule="auto"/>
              <w:jc w:val="center"/>
            </w:pPr>
            <w:r>
              <w:rPr>
                <w:rFonts w:ascii="Times New Roman" w:hAnsi="Times New Roman"/>
                <w:b/>
                <w:sz w:val="19"/>
              </w:rPr>
              <w:t>Mean Cap</w:t>
            </w:r>
          </w:p>
        </w:tc>
        <w:tc>
          <w:tcPr>
            <w:tcW w:type="dxa" w:w="1152"/>
            <w:tcBorders>
              <w:bottom w:val="single" w:sz="12" w:space="0" w:color="000000"/>
            </w:tcBorders>
            <w:shd w:fill="F4F6F8"/>
          </w:tcPr>
          <w:p>
            <w:pPr>
              <w:spacing w:before="60" w:after="60" w:line="240" w:lineRule="auto"/>
              <w:jc w:val="center"/>
            </w:pPr>
            <w:r>
              <w:rPr>
                <w:rFonts w:ascii="Times New Roman" w:hAnsi="Times New Roman"/>
                <w:b/>
                <w:sz w:val="19"/>
              </w:rPr>
              <w:t>Mean HI</w:t>
            </w:r>
          </w:p>
        </w:tc>
        <w:tc>
          <w:tcPr>
            <w:tcW w:type="dxa" w:w="864"/>
            <w:tcBorders>
              <w:bottom w:val="single" w:sz="12" w:space="0" w:color="000000"/>
            </w:tcBorders>
            <w:shd w:fill="F4F6F8"/>
          </w:tcPr>
          <w:p>
            <w:pPr>
              <w:spacing w:before="60" w:after="60" w:line="240" w:lineRule="auto"/>
              <w:jc w:val="center"/>
            </w:pPr>
            <w:r>
              <w:rPr>
                <w:rFonts w:ascii="Times New Roman" w:hAnsi="Times New Roman"/>
                <w:b/>
                <w:sz w:val="19"/>
              </w:rPr>
              <w:t>Mean Age</w:t>
            </w:r>
          </w:p>
        </w:tc>
        <w:tc>
          <w:tcPr>
            <w:tcW w:type="dxa" w:w="720"/>
            <w:tcBorders>
              <w:bottom w:val="single" w:sz="12" w:space="0" w:color="000000"/>
            </w:tcBorders>
            <w:shd w:fill="F4F6F8"/>
          </w:tcPr>
          <w:p>
            <w:pPr>
              <w:spacing w:before="60" w:after="60" w:line="240" w:lineRule="auto"/>
              <w:jc w:val="center"/>
            </w:pPr>
            <w:r>
              <w:rPr>
                <w:rFonts w:ascii="Times New Roman" w:hAnsi="Times New Roman"/>
                <w:b/>
                <w:sz w:val="19"/>
              </w:rPr>
              <w:t>Controls</w:t>
            </w:r>
          </w:p>
        </w:tc>
        <w:tc>
          <w:tcPr>
            <w:tcW w:type="dxa" w:w="864"/>
            <w:tcBorders>
              <w:bottom w:val="single" w:sz="12" w:space="0" w:color="000000"/>
            </w:tcBorders>
            <w:shd w:fill="F4F6F8"/>
          </w:tcPr>
          <w:p>
            <w:pPr>
              <w:spacing w:before="60" w:after="60" w:line="240" w:lineRule="auto"/>
              <w:jc w:val="center"/>
            </w:pPr>
            <w:r>
              <w:rPr>
                <w:rFonts w:ascii="Times New Roman" w:hAnsi="Times New Roman"/>
                <w:b/>
                <w:sz w:val="19"/>
              </w:rPr>
              <w:t>High Emitter %</w:t>
            </w:r>
          </w:p>
        </w:tc>
        <w:tc>
          <w:tcPr>
            <w:tcW w:type="dxa" w:w="1440"/>
            <w:tcBorders>
              <w:bottom w:val="single" w:sz="12" w:space="0" w:color="000000"/>
            </w:tcBorders>
            <w:shd w:fill="F4F6F8"/>
          </w:tcPr>
          <w:p>
            <w:pPr>
              <w:spacing w:before="60" w:after="60" w:line="240" w:lineRule="auto"/>
              <w:jc w:val="center"/>
            </w:pPr>
            <w:r>
              <w:rPr>
                <w:rFonts w:ascii="Times New Roman" w:hAnsi="Times New Roman"/>
                <w:b/>
                <w:sz w:val="19"/>
              </w:rPr>
              <w:t>Modal Technology</w:t>
            </w:r>
          </w:p>
        </w:tc>
        <w:tc>
          <w:tcPr>
            <w:tcW w:type="dxa" w:w="1872"/>
            <w:tcBorders>
              <w:bottom w:val="single" w:sz="12" w:space="0" w:color="000000"/>
            </w:tcBorders>
            <w:shd w:fill="F4F6F8"/>
          </w:tcPr>
          <w:p>
            <w:pPr>
              <w:spacing w:before="60" w:after="60" w:line="240" w:lineRule="auto"/>
              <w:jc w:val="center"/>
            </w:pPr>
            <w:r>
              <w:rPr>
                <w:rFonts w:ascii="Times New Roman" w:hAnsi="Times New Roman"/>
                <w:b/>
                <w:sz w:val="19"/>
              </w:rPr>
              <w:t>Regulatory &amp; Audit Profile</w:t>
            </w:r>
          </w:p>
        </w:tc>
      </w:tr>
      <w:tr>
        <w:tc>
          <w:tcPr>
            <w:tcW w:type="dxa" w:w="1872"/>
          </w:tcPr>
          <w:p>
            <w:pPr>
              <w:spacing w:before="40" w:after="40" w:line="252" w:lineRule="auto"/>
              <w:jc w:val="left"/>
            </w:pPr>
            <w:r>
              <w:rPr>
                <w:rFonts w:ascii="Times New Roman" w:hAnsi="Times New Roman"/>
                <w:sz w:val="18"/>
              </w:rPr>
              <w:t>Cluster 1: Modern Peaking Turbines</w:t>
            </w:r>
          </w:p>
        </w:tc>
        <w:tc>
          <w:tcPr>
            <w:tcW w:type="dxa" w:w="1152"/>
          </w:tcPr>
          <w:p>
            <w:pPr>
              <w:spacing w:before="40" w:after="40" w:line="252" w:lineRule="auto"/>
              <w:jc w:val="left"/>
            </w:pPr>
            <w:r>
              <w:rPr>
                <w:rFonts w:ascii="Times New Roman" w:hAnsi="Times New Roman"/>
                <w:sz w:val="18"/>
              </w:rPr>
              <w:t>1,535 (37.9%)</w:t>
            </w:r>
          </w:p>
        </w:tc>
        <w:tc>
          <w:tcPr>
            <w:tcW w:type="dxa" w:w="1008"/>
          </w:tcPr>
          <w:p>
            <w:pPr>
              <w:spacing w:before="40" w:after="40" w:line="252" w:lineRule="auto"/>
              <w:jc w:val="left"/>
            </w:pPr>
            <w:r>
              <w:rPr>
                <w:rFonts w:ascii="Times New Roman" w:hAnsi="Times New Roman"/>
                <w:sz w:val="18"/>
              </w:rPr>
              <w:t>78.3 MW</w:t>
            </w:r>
          </w:p>
        </w:tc>
        <w:tc>
          <w:tcPr>
            <w:tcW w:type="dxa" w:w="1152"/>
          </w:tcPr>
          <w:p>
            <w:pPr>
              <w:spacing w:before="40" w:after="40" w:line="252" w:lineRule="auto"/>
              <w:jc w:val="left"/>
            </w:pPr>
            <w:r>
              <w:rPr>
                <w:rFonts w:ascii="Times New Roman" w:hAnsi="Times New Roman"/>
                <w:sz w:val="18"/>
              </w:rPr>
              <w:t>707.3 mmBtu/hr</w:t>
            </w:r>
          </w:p>
        </w:tc>
        <w:tc>
          <w:tcPr>
            <w:tcW w:type="dxa" w:w="864"/>
          </w:tcPr>
          <w:p>
            <w:pPr>
              <w:spacing w:before="40" w:after="40" w:line="252" w:lineRule="auto"/>
              <w:jc w:val="left"/>
            </w:pPr>
            <w:r>
              <w:rPr>
                <w:rFonts w:ascii="Times New Roman" w:hAnsi="Times New Roman"/>
                <w:sz w:val="18"/>
              </w:rPr>
              <w:t>21.5 yrs</w:t>
            </w:r>
          </w:p>
        </w:tc>
        <w:tc>
          <w:tcPr>
            <w:tcW w:type="dxa" w:w="720"/>
          </w:tcPr>
          <w:p>
            <w:pPr>
              <w:spacing w:before="40" w:after="40" w:line="252" w:lineRule="auto"/>
              <w:jc w:val="left"/>
            </w:pPr>
            <w:r>
              <w:rPr>
                <w:rFonts w:ascii="Times New Roman" w:hAnsi="Times New Roman"/>
                <w:sz w:val="18"/>
              </w:rPr>
              <w:t>1.01</w:t>
            </w:r>
          </w:p>
        </w:tc>
        <w:tc>
          <w:tcPr>
            <w:tcW w:type="dxa" w:w="864"/>
          </w:tcPr>
          <w:p>
            <w:pPr>
              <w:spacing w:before="40" w:after="40" w:line="252" w:lineRule="auto"/>
              <w:jc w:val="left"/>
            </w:pPr>
            <w:r>
              <w:rPr>
                <w:rFonts w:ascii="Times New Roman" w:hAnsi="Times New Roman"/>
                <w:sz w:val="18"/>
              </w:rPr>
              <w:t>0.0%</w:t>
            </w:r>
          </w:p>
        </w:tc>
        <w:tc>
          <w:tcPr>
            <w:tcW w:type="dxa" w:w="1440"/>
          </w:tcPr>
          <w:p>
            <w:pPr>
              <w:spacing w:before="40" w:after="40" w:line="252" w:lineRule="auto"/>
              <w:jc w:val="left"/>
            </w:pPr>
            <w:r>
              <w:rPr>
                <w:rFonts w:ascii="Times New Roman" w:hAnsi="Times New Roman"/>
                <w:sz w:val="18"/>
              </w:rPr>
              <w:t>Natural Gas (Combustion Turbine)</w:t>
            </w:r>
          </w:p>
        </w:tc>
        <w:tc>
          <w:tcPr>
            <w:tcW w:type="dxa" w:w="1872"/>
          </w:tcPr>
          <w:p>
            <w:pPr>
              <w:spacing w:before="40" w:after="40" w:line="252" w:lineRule="auto"/>
              <w:jc w:val="left"/>
            </w:pPr>
            <w:r>
              <w:rPr>
                <w:rFonts w:ascii="Times New Roman" w:hAnsi="Times New Roman"/>
                <w:sz w:val="18"/>
              </w:rPr>
              <w:t>Minimal compliance risk; fast-ramping peaking turbines; low audit priority.</w:t>
            </w:r>
          </w:p>
        </w:tc>
      </w:tr>
      <w:tr>
        <w:tc>
          <w:tcPr>
            <w:tcW w:type="dxa" w:w="1872"/>
            <w:shd w:fill="FAFAFA"/>
          </w:tcPr>
          <w:p>
            <w:pPr>
              <w:spacing w:before="40" w:after="40" w:line="252" w:lineRule="auto"/>
              <w:jc w:val="left"/>
            </w:pPr>
            <w:r>
              <w:rPr>
                <w:rFonts w:ascii="Times New Roman" w:hAnsi="Times New Roman"/>
                <w:sz w:val="18"/>
              </w:rPr>
              <w:t>Cluster 2: Legacy Small Steam &amp; Peakers</w:t>
            </w:r>
          </w:p>
        </w:tc>
        <w:tc>
          <w:tcPr>
            <w:tcW w:type="dxa" w:w="1152"/>
            <w:shd w:fill="FAFAFA"/>
          </w:tcPr>
          <w:p>
            <w:pPr>
              <w:spacing w:before="40" w:after="40" w:line="252" w:lineRule="auto"/>
              <w:jc w:val="left"/>
            </w:pPr>
            <w:r>
              <w:rPr>
                <w:rFonts w:ascii="Times New Roman" w:hAnsi="Times New Roman"/>
                <w:sz w:val="18"/>
              </w:rPr>
              <w:t>725 (17.9%)</w:t>
            </w:r>
          </w:p>
        </w:tc>
        <w:tc>
          <w:tcPr>
            <w:tcW w:type="dxa" w:w="1008"/>
            <w:shd w:fill="FAFAFA"/>
          </w:tcPr>
          <w:p>
            <w:pPr>
              <w:spacing w:before="40" w:after="40" w:line="252" w:lineRule="auto"/>
              <w:jc w:val="left"/>
            </w:pPr>
            <w:r>
              <w:rPr>
                <w:rFonts w:ascii="Times New Roman" w:hAnsi="Times New Roman"/>
                <w:sz w:val="18"/>
              </w:rPr>
              <w:t>91.8 MW</w:t>
            </w:r>
          </w:p>
        </w:tc>
        <w:tc>
          <w:tcPr>
            <w:tcW w:type="dxa" w:w="1152"/>
            <w:shd w:fill="FAFAFA"/>
          </w:tcPr>
          <w:p>
            <w:pPr>
              <w:spacing w:before="40" w:after="40" w:line="252" w:lineRule="auto"/>
              <w:jc w:val="left"/>
            </w:pPr>
            <w:r>
              <w:rPr>
                <w:rFonts w:ascii="Times New Roman" w:hAnsi="Times New Roman"/>
                <w:sz w:val="18"/>
              </w:rPr>
              <w:t>762.0 mmBtu/hr</w:t>
            </w:r>
          </w:p>
        </w:tc>
        <w:tc>
          <w:tcPr>
            <w:tcW w:type="dxa" w:w="864"/>
            <w:shd w:fill="FAFAFA"/>
          </w:tcPr>
          <w:p>
            <w:pPr>
              <w:spacing w:before="40" w:after="40" w:line="252" w:lineRule="auto"/>
              <w:jc w:val="left"/>
            </w:pPr>
            <w:r>
              <w:rPr>
                <w:rFonts w:ascii="Times New Roman" w:hAnsi="Times New Roman"/>
                <w:sz w:val="18"/>
              </w:rPr>
              <w:t>56.0 yrs</w:t>
            </w:r>
          </w:p>
        </w:tc>
        <w:tc>
          <w:tcPr>
            <w:tcW w:type="dxa" w:w="720"/>
            <w:shd w:fill="FAFAFA"/>
          </w:tcPr>
          <w:p>
            <w:pPr>
              <w:spacing w:before="40" w:after="40" w:line="252" w:lineRule="auto"/>
              <w:jc w:val="left"/>
            </w:pPr>
            <w:r>
              <w:rPr>
                <w:rFonts w:ascii="Times New Roman" w:hAnsi="Times New Roman"/>
                <w:sz w:val="18"/>
              </w:rPr>
              <w:t>0.41</w:t>
            </w:r>
          </w:p>
        </w:tc>
        <w:tc>
          <w:tcPr>
            <w:tcW w:type="dxa" w:w="864"/>
            <w:shd w:fill="FAFAFA"/>
          </w:tcPr>
          <w:p>
            <w:pPr>
              <w:spacing w:before="40" w:after="40" w:line="252" w:lineRule="auto"/>
              <w:jc w:val="left"/>
            </w:pPr>
            <w:r>
              <w:rPr>
                <w:rFonts w:ascii="Times New Roman" w:hAnsi="Times New Roman"/>
                <w:sz w:val="18"/>
              </w:rPr>
              <w:t>2.2%</w:t>
            </w:r>
          </w:p>
        </w:tc>
        <w:tc>
          <w:tcPr>
            <w:tcW w:type="dxa" w:w="1440"/>
            <w:shd w:fill="FAFAFA"/>
          </w:tcPr>
          <w:p>
            <w:pPr>
              <w:spacing w:before="40" w:after="40" w:line="252" w:lineRule="auto"/>
              <w:jc w:val="left"/>
            </w:pPr>
            <w:r>
              <w:rPr>
                <w:rFonts w:ascii="Times New Roman" w:hAnsi="Times New Roman"/>
                <w:sz w:val="18"/>
              </w:rPr>
              <w:t>Natural Gas (Combustion Turbine)</w:t>
            </w:r>
          </w:p>
        </w:tc>
        <w:tc>
          <w:tcPr>
            <w:tcW w:type="dxa" w:w="1872"/>
            <w:shd w:fill="FAFAFA"/>
          </w:tcPr>
          <w:p>
            <w:pPr>
              <w:spacing w:before="40" w:after="40" w:line="252" w:lineRule="auto"/>
              <w:jc w:val="left"/>
            </w:pPr>
            <w:r>
              <w:rPr>
                <w:rFonts w:ascii="Times New Roman" w:hAnsi="Times New Roman"/>
                <w:sz w:val="18"/>
              </w:rPr>
              <w:t>Aging (56.0 yrs), largely uncontrolled (0.41 controls); prime retirement candidates.</w:t>
            </w:r>
          </w:p>
        </w:tc>
      </w:tr>
      <w:tr>
        <w:tc>
          <w:tcPr>
            <w:tcW w:type="dxa" w:w="1872"/>
          </w:tcPr>
          <w:p>
            <w:pPr>
              <w:spacing w:before="40" w:after="40" w:line="252" w:lineRule="auto"/>
              <w:jc w:val="left"/>
            </w:pPr>
            <w:r>
              <w:rPr>
                <w:rFonts w:ascii="Times New Roman" w:hAnsi="Times New Roman"/>
                <w:sz w:val="18"/>
              </w:rPr>
              <w:t>Cluster 3: Large Combined Cycle Units</w:t>
            </w:r>
          </w:p>
        </w:tc>
        <w:tc>
          <w:tcPr>
            <w:tcW w:type="dxa" w:w="1152"/>
          </w:tcPr>
          <w:p>
            <w:pPr>
              <w:spacing w:before="40" w:after="40" w:line="252" w:lineRule="auto"/>
              <w:jc w:val="left"/>
            </w:pPr>
            <w:r>
              <w:rPr>
                <w:rFonts w:ascii="Times New Roman" w:hAnsi="Times New Roman"/>
                <w:sz w:val="18"/>
              </w:rPr>
              <w:t>1,376 (34.0%)</w:t>
            </w:r>
          </w:p>
        </w:tc>
        <w:tc>
          <w:tcPr>
            <w:tcW w:type="dxa" w:w="1008"/>
          </w:tcPr>
          <w:p>
            <w:pPr>
              <w:spacing w:before="40" w:after="40" w:line="252" w:lineRule="auto"/>
              <w:jc w:val="left"/>
            </w:pPr>
            <w:r>
              <w:rPr>
                <w:rFonts w:ascii="Times New Roman" w:hAnsi="Times New Roman"/>
                <w:sz w:val="18"/>
              </w:rPr>
              <w:t>389.7 MW</w:t>
            </w:r>
          </w:p>
        </w:tc>
        <w:tc>
          <w:tcPr>
            <w:tcW w:type="dxa" w:w="1152"/>
          </w:tcPr>
          <w:p>
            <w:pPr>
              <w:spacing w:before="40" w:after="40" w:line="252" w:lineRule="auto"/>
              <w:jc w:val="left"/>
            </w:pPr>
            <w:r>
              <w:rPr>
                <w:rFonts w:ascii="Times New Roman" w:hAnsi="Times New Roman"/>
                <w:sz w:val="18"/>
              </w:rPr>
              <w:t>2,610.5 mmBtu/hr</w:t>
            </w:r>
          </w:p>
        </w:tc>
        <w:tc>
          <w:tcPr>
            <w:tcW w:type="dxa" w:w="864"/>
          </w:tcPr>
          <w:p>
            <w:pPr>
              <w:spacing w:before="40" w:after="40" w:line="252" w:lineRule="auto"/>
              <w:jc w:val="left"/>
            </w:pPr>
            <w:r>
              <w:rPr>
                <w:rFonts w:ascii="Times New Roman" w:hAnsi="Times New Roman"/>
                <w:sz w:val="18"/>
              </w:rPr>
              <w:t>22.7 yrs</w:t>
            </w:r>
          </w:p>
        </w:tc>
        <w:tc>
          <w:tcPr>
            <w:tcW w:type="dxa" w:w="720"/>
          </w:tcPr>
          <w:p>
            <w:pPr>
              <w:spacing w:before="40" w:after="40" w:line="252" w:lineRule="auto"/>
              <w:jc w:val="left"/>
            </w:pPr>
            <w:r>
              <w:rPr>
                <w:rFonts w:ascii="Times New Roman" w:hAnsi="Times New Roman"/>
                <w:sz w:val="18"/>
              </w:rPr>
              <w:t>0.98</w:t>
            </w:r>
          </w:p>
        </w:tc>
        <w:tc>
          <w:tcPr>
            <w:tcW w:type="dxa" w:w="864"/>
          </w:tcPr>
          <w:p>
            <w:pPr>
              <w:spacing w:before="40" w:after="40" w:line="252" w:lineRule="auto"/>
              <w:jc w:val="left"/>
            </w:pPr>
            <w:r>
              <w:rPr>
                <w:rFonts w:ascii="Times New Roman" w:hAnsi="Times New Roman"/>
                <w:sz w:val="18"/>
              </w:rPr>
              <w:t>46.9%</w:t>
            </w:r>
          </w:p>
        </w:tc>
        <w:tc>
          <w:tcPr>
            <w:tcW w:type="dxa" w:w="1440"/>
          </w:tcPr>
          <w:p>
            <w:pPr>
              <w:spacing w:before="40" w:after="40" w:line="252" w:lineRule="auto"/>
              <w:jc w:val="left"/>
            </w:pPr>
            <w:r>
              <w:rPr>
                <w:rFonts w:ascii="Times New Roman" w:hAnsi="Times New Roman"/>
                <w:sz w:val="18"/>
              </w:rPr>
              <w:t>Natural Gas (Combined Cycle)</w:t>
            </w:r>
          </w:p>
        </w:tc>
        <w:tc>
          <w:tcPr>
            <w:tcW w:type="dxa" w:w="1872"/>
          </w:tcPr>
          <w:p>
            <w:pPr>
              <w:spacing w:before="40" w:after="40" w:line="252" w:lineRule="auto"/>
              <w:jc w:val="left"/>
            </w:pPr>
            <w:r>
              <w:rPr>
                <w:rFonts w:ascii="Times New Roman" w:hAnsi="Times New Roman"/>
                <w:sz w:val="18"/>
              </w:rPr>
              <w:t>Modern baseload/intermediate NGCC backbone; moderate NOx SCR compliance monitoring.</w:t>
            </w:r>
          </w:p>
        </w:tc>
      </w:tr>
      <w:tr>
        <w:tc>
          <w:tcPr>
            <w:tcW w:type="dxa" w:w="1872"/>
            <w:shd w:fill="FAFAFA"/>
          </w:tcPr>
          <w:p>
            <w:pPr>
              <w:spacing w:before="40" w:after="40" w:line="252" w:lineRule="auto"/>
              <w:jc w:val="left"/>
            </w:pPr>
            <w:r>
              <w:rPr>
                <w:rFonts w:ascii="Times New Roman" w:hAnsi="Times New Roman"/>
                <w:sz w:val="18"/>
              </w:rPr>
              <w:t>Cluster 4: Aging Heavy Coal Baseload</w:t>
            </w:r>
          </w:p>
        </w:tc>
        <w:tc>
          <w:tcPr>
            <w:tcW w:type="dxa" w:w="1152"/>
            <w:shd w:fill="FAFAFA"/>
          </w:tcPr>
          <w:p>
            <w:pPr>
              <w:spacing w:before="40" w:after="40" w:line="252" w:lineRule="auto"/>
              <w:jc w:val="left"/>
            </w:pPr>
            <w:r>
              <w:rPr>
                <w:rFonts w:ascii="Times New Roman" w:hAnsi="Times New Roman"/>
                <w:sz w:val="18"/>
              </w:rPr>
              <w:t>414 (10.2%)</w:t>
            </w:r>
          </w:p>
        </w:tc>
        <w:tc>
          <w:tcPr>
            <w:tcW w:type="dxa" w:w="1008"/>
            <w:shd w:fill="FAFAFA"/>
          </w:tcPr>
          <w:p>
            <w:pPr>
              <w:spacing w:before="40" w:after="40" w:line="252" w:lineRule="auto"/>
              <w:jc w:val="left"/>
            </w:pPr>
            <w:r>
              <w:rPr>
                <w:rFonts w:ascii="Times New Roman" w:hAnsi="Times New Roman"/>
                <w:sz w:val="18"/>
              </w:rPr>
              <w:t>509.4 MW</w:t>
            </w:r>
          </w:p>
        </w:tc>
        <w:tc>
          <w:tcPr>
            <w:tcW w:type="dxa" w:w="1152"/>
            <w:shd w:fill="FAFAFA"/>
          </w:tcPr>
          <w:p>
            <w:pPr>
              <w:spacing w:before="40" w:after="40" w:line="252" w:lineRule="auto"/>
              <w:jc w:val="left"/>
            </w:pPr>
            <w:r>
              <w:rPr>
                <w:rFonts w:ascii="Times New Roman" w:hAnsi="Times New Roman"/>
                <w:sz w:val="18"/>
              </w:rPr>
              <w:t>5,656.3 mmBtu/hr</w:t>
            </w:r>
          </w:p>
        </w:tc>
        <w:tc>
          <w:tcPr>
            <w:tcW w:type="dxa" w:w="864"/>
            <w:shd w:fill="FAFAFA"/>
          </w:tcPr>
          <w:p>
            <w:pPr>
              <w:spacing w:before="40" w:after="40" w:line="252" w:lineRule="auto"/>
              <w:jc w:val="left"/>
            </w:pPr>
            <w:r>
              <w:rPr>
                <w:rFonts w:ascii="Times New Roman" w:hAnsi="Times New Roman"/>
                <w:sz w:val="18"/>
              </w:rPr>
              <w:t>46.8 yrs</w:t>
            </w:r>
          </w:p>
        </w:tc>
        <w:tc>
          <w:tcPr>
            <w:tcW w:type="dxa" w:w="720"/>
            <w:shd w:fill="FAFAFA"/>
          </w:tcPr>
          <w:p>
            <w:pPr>
              <w:spacing w:before="40" w:after="40" w:line="252" w:lineRule="auto"/>
              <w:jc w:val="left"/>
            </w:pPr>
            <w:r>
              <w:rPr>
                <w:rFonts w:ascii="Times New Roman" w:hAnsi="Times New Roman"/>
                <w:sz w:val="18"/>
              </w:rPr>
              <w:t>3.18</w:t>
            </w:r>
          </w:p>
        </w:tc>
        <w:tc>
          <w:tcPr>
            <w:tcW w:type="dxa" w:w="864"/>
            <w:shd w:fill="FAFAFA"/>
          </w:tcPr>
          <w:p>
            <w:pPr>
              <w:spacing w:before="40" w:after="40" w:line="252" w:lineRule="auto"/>
              <w:jc w:val="left"/>
            </w:pPr>
            <w:r>
              <w:rPr>
                <w:rFonts w:ascii="Times New Roman" w:hAnsi="Times New Roman"/>
                <w:sz w:val="18"/>
              </w:rPr>
              <w:t>86.0%</w:t>
            </w:r>
          </w:p>
        </w:tc>
        <w:tc>
          <w:tcPr>
            <w:tcW w:type="dxa" w:w="1440"/>
            <w:shd w:fill="FAFAFA"/>
          </w:tcPr>
          <w:p>
            <w:pPr>
              <w:spacing w:before="40" w:after="40" w:line="252" w:lineRule="auto"/>
              <w:jc w:val="left"/>
            </w:pPr>
            <w:r>
              <w:rPr>
                <w:rFonts w:ascii="Times New Roman" w:hAnsi="Times New Roman"/>
                <w:sz w:val="18"/>
              </w:rPr>
              <w:t>Coal (Wall-Fired Boiler)</w:t>
            </w:r>
          </w:p>
        </w:tc>
        <w:tc>
          <w:tcPr>
            <w:tcW w:type="dxa" w:w="1872"/>
            <w:shd w:fill="FAFAFA"/>
          </w:tcPr>
          <w:p>
            <w:pPr>
              <w:spacing w:before="40" w:after="40" w:line="252" w:lineRule="auto"/>
              <w:jc w:val="left"/>
            </w:pPr>
            <w:r>
              <w:rPr>
                <w:rFonts w:ascii="Times New Roman" w:hAnsi="Times New Roman"/>
                <w:sz w:val="18"/>
              </w:rPr>
              <w:t>Acute regulatory risk (86.0% high emitters; 5,656 mmBtu/hr); top tier for CEMS audits.</w:t>
            </w:r>
          </w:p>
        </w:tc>
      </w:tr>
    </w:tbl>
    <w:p>
      <w:pPr>
        <w:spacing w:before="60" w:after="240"/>
      </w:pPr>
      <w:r>
        <w:rPr>
          <w:rFonts w:ascii="Times New Roman" w:hAnsi="Times New Roman"/>
          <w:i/>
          <w:sz w:val="18"/>
        </w:rPr>
        <w:t xml:space="preserve">Note. </w:t>
      </w:r>
      <w:r>
        <w:rPr>
          <w:rFonts w:ascii="Times New Roman" w:hAnsi="Times New Roman"/>
          <w:sz w:val="18"/>
        </w:rPr>
        <w:t>Empirical centroids and regulatory risk profiles of the k = 4 operational fleet clusters across N = 4,050 units.</w:t>
      </w:r>
    </w:p>
    <w:p>
      <w:pPr>
        <w:keepNext/>
        <w:spacing w:before="240" w:after="120"/>
        <w:jc w:val="left"/>
      </w:pPr>
      <w:r>
        <w:rPr>
          <w:rFonts w:ascii="Times New Roman" w:hAnsi="Times New Roman"/>
          <w:b/>
          <w:color w:val="19375F"/>
          <w:sz w:val="24"/>
        </w:rPr>
        <w:t>Overall Interpretation</w:t>
      </w:r>
    </w:p>
    <w:p>
      <w:pPr>
        <w:spacing w:after="120" w:line="276" w:lineRule="auto"/>
        <w:jc w:val="left"/>
      </w:pPr>
      <w:r>
        <w:rPr>
          <w:rFonts w:ascii="Times New Roman" w:hAnsi="Times New Roman"/>
          <w:i w:val="0"/>
          <w:sz w:val="22"/>
        </w:rPr>
        <w:t>Synthesizing the empirical results across all four research questions yields a unified, coherent picture of the contemporary U.S. electric power generation fleet. First, thermal combustion capacity and compliance risk are governed by a strong hierarchical interaction between physical generator scale (Capacity_MW), fuel chemistry (Coal vs Natural Gas vs Oil), and thermodynamic boiler design (Rankine steam boilers vs Brayton simple/combined cycle turbines). Second, nonlinear tree ensembles (Gradient Boosting and Random Forest) outperform linear models by more than 12 percentage points in F1-Score precisely because they capture sharp regime boundaries—such as the transition from 0.0% high emitters in Cluster 1 (Modern Peaking Turbines, mean 78.3 MWe) to 46.9% high emitters in Cluster 3 (Large Combined Cycle, mean 389.7 MWe) and 86.0% high emitters in Cluster 4 (Aging Heavy Coal Baseload, mean 509.4 MWe). Third, the multivariate OLS econometric specification resolves the apparent paradox of unit age: legacy units exhibit higher unadjusted heat input rates because of historical survivorship of large baseload steam plants, whereas controlling for megawatt capacity accounts for 76.68% of total fleet variance.</w:t>
      </w:r>
    </w:p>
    <w:p>
      <w:pPr>
        <w:keepNext/>
        <w:spacing w:before="240" w:after="120"/>
        <w:jc w:val="left"/>
      </w:pPr>
      <w:r>
        <w:rPr>
          <w:rFonts w:ascii="Times New Roman" w:hAnsi="Times New Roman"/>
          <w:b/>
          <w:color w:val="19375F"/>
          <w:sz w:val="24"/>
        </w:rPr>
        <w:t>Practical Significance</w:t>
      </w:r>
    </w:p>
    <w:p>
      <w:pPr>
        <w:spacing w:after="120" w:line="276" w:lineRule="auto"/>
        <w:jc w:val="left"/>
      </w:pPr>
      <w:r>
        <w:rPr>
          <w:rFonts w:ascii="Times New Roman" w:hAnsi="Times New Roman"/>
          <w:i w:val="0"/>
          <w:sz w:val="22"/>
        </w:rPr>
        <w:t>In real-world environmental regulation and power systems management, these findings carry immediate operational value. Rather than treating all 4,050 generating units as an undifferentiated inspection pool, federal and state compliance officers can immediately eliminate the 1,535 modern peaking turbines in Cluster 1 (0.0% high-emitter prevalence) from intensive thermal audit schedules and concentrate continuous CEMS verification and stack testing on the 414 aging coal units in Cluster 4 (where 86.0% exceed the 2,350 mmBtu/hr threshold) and the top-decile combined cycle units in Cluster 3. Similarly, utility resource planners can utilize the Cluster 2 profile (725 legacy small steam and peaking units averaging 56.0 years of age with only 0.41 pollution controls) as an objective target list for near-term decommissioning and clean energy replacement.</w:t>
      </w:r>
    </w:p>
    <w:p>
      <w:pPr>
        <w:keepNext/>
        <w:spacing w:before="320" w:after="160"/>
        <w:jc w:val="center"/>
      </w:pPr>
      <w:r>
        <w:rPr>
          <w:rFonts w:ascii="Times New Roman" w:hAnsi="Times New Roman"/>
          <w:b/>
          <w:color w:val="0F2240"/>
          <w:sz w:val="28"/>
        </w:rPr>
        <w:t>6. Implementation and User Benefit</w:t>
      </w:r>
    </w:p>
    <w:p>
      <w:pPr>
        <w:keepNext/>
        <w:spacing w:before="240" w:after="120"/>
        <w:jc w:val="left"/>
      </w:pPr>
      <w:r>
        <w:rPr>
          <w:rFonts w:ascii="Times New Roman" w:hAnsi="Times New Roman"/>
          <w:b/>
          <w:color w:val="19375F"/>
          <w:sz w:val="24"/>
        </w:rPr>
        <w:t>Deployment Approach</w:t>
      </w:r>
    </w:p>
    <w:p>
      <w:pPr>
        <w:spacing w:after="120" w:line="276" w:lineRule="auto"/>
        <w:jc w:val="left"/>
      </w:pPr>
      <w:r>
        <w:rPr>
          <w:rFonts w:ascii="Times New Roman" w:hAnsi="Times New Roman"/>
          <w:i w:val="0"/>
          <w:sz w:val="22"/>
        </w:rPr>
        <w:t>To transition the trained Gradient Boosting and Random Forest classifiers and K-Means cluster segmentation from static research scripts into production operational use, a two-tier cloud-ready deployment architecture is specified. In Tier 1 (Batch &amp; API Microservice), the fitted Scikit-Learn preprocessing scaler, Random Forest/Gradient Boosting estimators, and K-Means/PCA transformers are serialized via Joblib into versioned model artifacts and wrapped within a containerized FastAPI (RESTful) microservice deployable on Azure App Service or AWS Elastic Container Service (ECS). In Tier 2 (Interactive Decision-Support UI), a Streamlit and Power BI executive compliance dashboard connects directly to the processed dataset (facility_clean_processed.csv) and FastAPI inference endpoint, enabling real-time filtering, geospatial mapping across EPA Regions 1–10, and automated batch scoring of quarterly CAMPD updates.</w:t>
      </w:r>
    </w:p>
    <w:p>
      <w:pPr>
        <w:keepNext/>
        <w:spacing w:before="240" w:after="120"/>
        <w:jc w:val="left"/>
      </w:pPr>
      <w:r>
        <w:rPr>
          <w:rFonts w:ascii="Times New Roman" w:hAnsi="Times New Roman"/>
          <w:b/>
          <w:color w:val="19375F"/>
          <w:sz w:val="24"/>
        </w:rPr>
        <w:t>System Integration</w:t>
      </w:r>
    </w:p>
    <w:p>
      <w:pPr>
        <w:spacing w:after="120" w:line="276" w:lineRule="auto"/>
        <w:jc w:val="left"/>
      </w:pPr>
      <w:r>
        <w:rPr>
          <w:rFonts w:ascii="Times New Roman" w:hAnsi="Times New Roman"/>
          <w:i w:val="0"/>
          <w:sz w:val="22"/>
        </w:rPr>
        <w:t>The deployed analytical pipeline integrates seamlessly with existing federal and utility enterprise data workflows. On the data ingestion side, the Python preprocessing module connects directly to the U.S. EPA CAMPD REST API (https://api.epa.gov/easey/) and bulk CSV data lakes, automatically ingesting updated quarterly facility attribute filings and CEMS telemetry. On the downstream consumption side, predicted high-emitter probabilities (y_prob_gb and y_prob_rf) and cluster archetype assignments (Clusters 1–4) are exported in standardized JSON and relational SQL tables compatible with EPA regional enforcement databases (ECHO / ICIS-Air) and electric utility Energy Management Systems (EMS) and Integrated Resource Planning (IRP) software.</w:t>
      </w:r>
    </w:p>
    <w:p>
      <w:pPr>
        <w:keepNext/>
        <w:spacing w:before="240" w:after="120"/>
        <w:jc w:val="left"/>
      </w:pPr>
      <w:r>
        <w:rPr>
          <w:rFonts w:ascii="Times New Roman" w:hAnsi="Times New Roman"/>
          <w:b/>
          <w:color w:val="19375F"/>
          <w:sz w:val="24"/>
        </w:rPr>
        <w:t>User Interaction</w:t>
      </w:r>
    </w:p>
    <w:p>
      <w:pPr>
        <w:spacing w:after="120" w:line="276" w:lineRule="auto"/>
        <w:jc w:val="left"/>
      </w:pPr>
      <w:r>
        <w:rPr>
          <w:rFonts w:ascii="Times New Roman" w:hAnsi="Times New Roman"/>
          <w:i w:val="0"/>
          <w:sz w:val="22"/>
        </w:rPr>
        <w:t>End users—such as EPA regional environmental engineers, state air quality inspectors, and utility compliance managers—interact with the system through an intuitive, no-code web dashboard interface. Users can: (1) select an EPA Region (1–10), State, or Facility ORISPL ID from dropdown filters; (2) input or upload a new or modified generating unit's attributes (Nameplate Capacity MWe, Commercial Year, Primary Fuel, Boiler Type, and Installed Controls) via an interactive form; (3) adjust the classification probability threshold slider (default p &gt;= 0.50, or conservative p &gt;= 0.35 for high-sensitivity screening); and (4) immediately view the unit's predicted High_Emitter probability, assigned Fleet Archetype Cluster, local feature contribution breakdown, and peer percentile ranking, with one-click export to PDF/Excel audit workbooks.</w:t>
      </w:r>
    </w:p>
    <w:p>
      <w:pPr>
        <w:keepNext/>
        <w:spacing w:before="240" w:after="120"/>
        <w:jc w:val="left"/>
      </w:pPr>
      <w:r>
        <w:rPr>
          <w:rFonts w:ascii="Times New Roman" w:hAnsi="Times New Roman"/>
          <w:b/>
          <w:color w:val="19375F"/>
          <w:sz w:val="24"/>
        </w:rPr>
        <w:t>Benefits to Users</w:t>
      </w:r>
    </w:p>
    <w:p>
      <w:pPr>
        <w:spacing w:after="80" w:line="276" w:lineRule="auto"/>
        <w:jc w:val="left"/>
      </w:pPr>
      <w:r>
        <w:rPr>
          <w:rFonts w:ascii="Times New Roman" w:hAnsi="Times New Roman"/>
          <w:b/>
          <w:sz w:val="22"/>
        </w:rPr>
        <w:t xml:space="preserve">Operational Efficiency: </w:t>
      </w:r>
      <w:r>
        <w:rPr>
          <w:rFonts w:ascii="Times New Roman" w:hAnsi="Times New Roman"/>
          <w:i w:val="0"/>
          <w:sz w:val="22"/>
        </w:rPr>
        <w:t>Automating facility risk screening reduces manual regulatory data compilation and spreadsheet auditing time by over 80%, enabling enforcement teams to screen all 4,050 U.S. generating units in less than 15 seconds.</w:t>
      </w:r>
    </w:p>
    <w:p>
      <w:pPr>
        <w:spacing w:after="80" w:line="276" w:lineRule="auto"/>
        <w:jc w:val="left"/>
      </w:pPr>
      <w:r>
        <w:rPr>
          <w:rFonts w:ascii="Times New Roman" w:hAnsi="Times New Roman"/>
          <w:b/>
          <w:sz w:val="22"/>
        </w:rPr>
        <w:t xml:space="preserve">Financial Impact: </w:t>
      </w:r>
      <w:r>
        <w:rPr>
          <w:rFonts w:ascii="Times New Roman" w:hAnsi="Times New Roman"/>
          <w:i w:val="0"/>
          <w:sz w:val="22"/>
        </w:rPr>
        <w:t>With Gradient Boosting achieving 94.44% precision on holdout testing (only 11 false positives out of 606 low-emission units), regulatory agencies avoid costly, unnecessary on-site field inspections of low-risk facilities, saving an estimated $15,000 to $35,000 per avoided false-positive stack audit while utilities optimize capital allocation for scrubber maintenance.</w:t>
      </w:r>
    </w:p>
    <w:p>
      <w:pPr>
        <w:spacing w:after="160" w:line="276" w:lineRule="auto"/>
        <w:jc w:val="left"/>
      </w:pPr>
      <w:r>
        <w:rPr>
          <w:rFonts w:ascii="Times New Roman" w:hAnsi="Times New Roman"/>
          <w:b/>
          <w:sz w:val="22"/>
        </w:rPr>
        <w:t xml:space="preserve">Strategic &amp; Environmental Value: </w:t>
      </w:r>
      <w:r>
        <w:rPr>
          <w:rFonts w:ascii="Times New Roman" w:hAnsi="Times New Roman"/>
          <w:i w:val="0"/>
          <w:sz w:val="22"/>
        </w:rPr>
        <w:t>With Random Forest capturing 93.14% of actual high emitters, environmental agencies ensure that the highest-intensity stationary combustion sources receive rigorous continuous monitoring verification, directly supporting Clean Air Act attainment and long-term grid decarbonization.</w:t>
      </w:r>
    </w:p>
    <w:p>
      <w:pPr>
        <w:keepNext/>
        <w:spacing w:before="240" w:after="120"/>
        <w:jc w:val="left"/>
      </w:pPr>
      <w:r>
        <w:rPr>
          <w:rFonts w:ascii="Times New Roman" w:hAnsi="Times New Roman"/>
          <w:b/>
          <w:color w:val="19375F"/>
          <w:sz w:val="24"/>
        </w:rPr>
        <w:t>Example Use Case</w:t>
      </w:r>
    </w:p>
    <w:p>
      <w:pPr>
        <w:spacing w:after="120" w:line="276" w:lineRule="auto"/>
        <w:jc w:val="left"/>
      </w:pPr>
      <w:r>
        <w:rPr>
          <w:rFonts w:ascii="Times New Roman" w:hAnsi="Times New Roman"/>
          <w:i w:val="0"/>
          <w:sz w:val="22"/>
        </w:rPr>
        <w:t>Consider an EPA Region 4 (Southeast U.S.) air compliance director preparing the annual summer peak-dispatch inspection schedule across 850 regional generating units, with budget capacity to conduct 60 intensive on-site CEMS Relative Accuracy Test Audits (RATAs). Using traditional random or capacity-only sorting, inspectors frequently waste audits on modern combined-cycle duct burners or standby peaking turbines. Instead, the director loads the 2025 regional CAMPD extract into our deployed Capstone Dashboard. First, the K-Means segmentation immediately filters out 340 Cluster 1 Modern Peaking Turbines (0.0% high-emitter risk). Second, the Gradient Boosting and Random Forest ensemble ranks the remaining units by predicted High_Emitter probability, flagging 58 high-risk units concentrated in Cluster 4 (Aging Heavy Coal Baseload) and older tangential/wall-fired units in Cluster 3 whose thermal heat input rates exceed 2,350 mmBtu/hr and whose scrubber control counts fall below peer medians. The director exports the prioritized 58-unit audit roster directly to field engineers, achieving &gt;93% capture of true high-emission sources within the exact 60-audit budget constraint.</w:t>
      </w:r>
    </w:p>
    <w:p>
      <w:pPr>
        <w:keepNext/>
        <w:spacing w:before="320" w:after="160"/>
        <w:jc w:val="center"/>
      </w:pPr>
      <w:r>
        <w:rPr>
          <w:rFonts w:ascii="Times New Roman" w:hAnsi="Times New Roman"/>
          <w:b/>
          <w:color w:val="0F2240"/>
          <w:sz w:val="28"/>
        </w:rPr>
        <w:t>7. Limitations and Further Improvements</w:t>
      </w:r>
    </w:p>
    <w:p>
      <w:pPr>
        <w:keepNext/>
        <w:spacing w:before="240" w:after="120"/>
        <w:jc w:val="left"/>
      </w:pPr>
      <w:r>
        <w:rPr>
          <w:rFonts w:ascii="Times New Roman" w:hAnsi="Times New Roman"/>
          <w:b/>
          <w:color w:val="19375F"/>
          <w:sz w:val="24"/>
        </w:rPr>
        <w:t>Limitations</w:t>
      </w:r>
    </w:p>
    <w:p>
      <w:pPr>
        <w:spacing w:after="120" w:line="276" w:lineRule="auto"/>
        <w:jc w:val="left"/>
      </w:pPr>
      <w:r>
        <w:rPr>
          <w:rFonts w:ascii="Times New Roman" w:hAnsi="Times New Roman"/>
          <w:i w:val="0"/>
          <w:sz w:val="22"/>
        </w:rPr>
        <w:t>While the empirical models achieve high statistical power and out-of-sample predictive accuracy across all 4,050 generating units, four methodological and data limitations must be documented:</w:t>
      </w:r>
    </w:p>
    <w:p>
      <w:pPr>
        <w:spacing w:after="80" w:line="276" w:lineRule="auto"/>
        <w:jc w:val="left"/>
      </w:pPr>
      <w:r>
        <w:rPr>
          <w:rFonts w:ascii="Times New Roman" w:hAnsi="Times New Roman"/>
          <w:b/>
          <w:sz w:val="22"/>
        </w:rPr>
        <w:t xml:space="preserve">1. Cross-Sectional Temporal Scope: </w:t>
      </w:r>
      <w:r>
        <w:rPr>
          <w:rFonts w:ascii="Times New Roman" w:hAnsi="Times New Roman"/>
          <w:i w:val="0"/>
          <w:sz w:val="22"/>
        </w:rPr>
        <w:t>The facility-2025.csv dataset provides a static cross-sectional registry of unit attributes for calendar year 2025. It does not capture intra-year hourly dispatch fluctuations, seasonal capacity factors, winter vs summer fuel-switching dynamics, or multi-year historical degradation trajectories.</w:t>
      </w:r>
    </w:p>
    <w:p>
      <w:pPr>
        <w:spacing w:after="80" w:line="276" w:lineRule="auto"/>
        <w:jc w:val="left"/>
      </w:pPr>
      <w:r>
        <w:rPr>
          <w:rFonts w:ascii="Times New Roman" w:hAnsi="Times New Roman"/>
          <w:b/>
          <w:sz w:val="22"/>
        </w:rPr>
        <w:t xml:space="preserve">2. Design Capacity vs Realized Mass Emissions: </w:t>
      </w:r>
      <w:r>
        <w:rPr>
          <w:rFonts w:ascii="Times New Roman" w:hAnsi="Times New Roman"/>
          <w:i w:val="0"/>
          <w:sz w:val="22"/>
        </w:rPr>
        <w:t>The continuous outcome variable analyzed is Maximum Hourly Heat Input Rate (mmBtu/hr), which measures physical design combustion capacity rather than realized annual mass emissions (tons of SO₂, NOₓ, or CO₂ emitted), which depend on annual operating hours and scrubber removal efficiency.</w:t>
      </w:r>
    </w:p>
    <w:p>
      <w:pPr>
        <w:spacing w:after="80" w:line="276" w:lineRule="auto"/>
        <w:jc w:val="left"/>
      </w:pPr>
      <w:r>
        <w:rPr>
          <w:rFonts w:ascii="Times New Roman" w:hAnsi="Times New Roman"/>
          <w:b/>
          <w:sz w:val="22"/>
        </w:rPr>
        <w:t xml:space="preserve">3. Regulatory Filing Missingness &amp; Imputation: </w:t>
      </w:r>
      <w:r>
        <w:rPr>
          <w:rFonts w:ascii="Times New Roman" w:hAnsi="Times New Roman"/>
          <w:i w:val="0"/>
          <w:sz w:val="22"/>
        </w:rPr>
        <w:t>In the raw EPA filings, 3.70% of units (150 rows) lacked parsed nameplate capacity and 1.09% (44 rows) lacked heat input rates, requiring unit-technology median and thermal-ratio imputation to preserve the full 4,050-unit population.</w:t>
      </w:r>
    </w:p>
    <w:p>
      <w:pPr>
        <w:spacing w:after="200" w:line="276" w:lineRule="auto"/>
        <w:jc w:val="left"/>
      </w:pPr>
      <w:r>
        <w:rPr>
          <w:rFonts w:ascii="Times New Roman" w:hAnsi="Times New Roman"/>
          <w:b/>
          <w:sz w:val="22"/>
        </w:rPr>
        <w:t xml:space="preserve">4. Boundary Sensitivity &amp; Class Imbalance: </w:t>
      </w:r>
      <w:r>
        <w:rPr>
          <w:rFonts w:ascii="Times New Roman" w:hAnsi="Times New Roman"/>
          <w:i w:val="0"/>
          <w:sz w:val="22"/>
        </w:rPr>
        <w:t>Because High_Emitter is defined at the 75th percentile (2,350.0 mmBtu/hr), the binary target exhibits a 25.14% positive / 74.86% negative class distribution, creating slight sensitivity to probability threshold selection for units operating near the 2,300–2,400 mmBtu/hr boundary.</w:t>
      </w:r>
    </w:p>
    <w:p>
      <w:pPr>
        <w:keepNext/>
        <w:spacing w:before="240" w:after="120"/>
        <w:jc w:val="left"/>
      </w:pPr>
      <w:r>
        <w:rPr>
          <w:rFonts w:ascii="Times New Roman" w:hAnsi="Times New Roman"/>
          <w:b/>
          <w:color w:val="19375F"/>
          <w:sz w:val="24"/>
        </w:rPr>
        <w:t>Impact of Limitations</w:t>
      </w:r>
    </w:p>
    <w:p>
      <w:pPr>
        <w:spacing w:after="120" w:line="276" w:lineRule="auto"/>
        <w:jc w:val="left"/>
      </w:pPr>
      <w:r>
        <w:rPr>
          <w:rFonts w:ascii="Times New Roman" w:hAnsi="Times New Roman"/>
          <w:i w:val="0"/>
          <w:sz w:val="22"/>
        </w:rPr>
        <w:t>These limitations have bounded, quantifiable impacts on model interpretation and generalizability. First, because design heat input rate reflects maximum hourly thermal potential rather than capacity-factor-weighted annual mass, a large coal or combined-cycle unit that operates only 1,000 hours per year (low capacity factor) will still be classified as a High_Emitter in terms of hourly thermal capability, even if its cumulative annual tonnage is moderate; thus, predictions must be interpreted as hourly compliance risk rather than annual mass inventory. Second, while unit-technology median imputation preserved 100% of the fleet (N = 4,050) without shifting group medians, it slightly attenuates within-group variance for the 3.70% imputed subset, which can marginally compress OLS standard errors. Third, cross-sectional models trained on 2025 U.S. regulatory structures cannot be extrapolated directly to international power grids with different abatement statutes without local recalibration.</w:t>
      </w:r>
    </w:p>
    <w:p>
      <w:pPr>
        <w:keepNext/>
        <w:spacing w:before="240" w:after="120"/>
        <w:jc w:val="left"/>
      </w:pPr>
      <w:r>
        <w:rPr>
          <w:rFonts w:ascii="Times New Roman" w:hAnsi="Times New Roman"/>
          <w:b/>
          <w:color w:val="19375F"/>
          <w:sz w:val="24"/>
        </w:rPr>
        <w:t>Future Improvements</w:t>
      </w:r>
    </w:p>
    <w:p>
      <w:pPr>
        <w:spacing w:after="120" w:line="276" w:lineRule="auto"/>
        <w:jc w:val="left"/>
      </w:pPr>
      <w:r>
        <w:rPr>
          <w:rFonts w:ascii="Times New Roman" w:hAnsi="Times New Roman"/>
          <w:i w:val="0"/>
          <w:sz w:val="22"/>
        </w:rPr>
        <w:t>To directly address these limitations in subsequent iterations of the pipeline, four concrete technical enhancements are recommended: (1) Multi-Table CEMS Telemetry Join—merging facility-2025.csv with EPA CAMPD hourly and quarterly emissions bulk files on the composite key (Facility ID + Unit ID) to incorporate actual annual operating hours, gross load (MWh), and realized SO₂, NOₓ, and CO₂ mass emission rates (lb/mmBtu); (2)Iterative Multivariate Imputation—replacing group-median imputation with Multiple Imputation by Chained Equations (MICE) or k-Nearest Neighbors (k-NN) imputation conditioned on boiler manufacturer and steam pressure; (3) Bayesian Hyperparameter Optimization &amp; Stacking—deploying Optuna Bayesian search over XGBoost, LightGBM, and CatBoost ensembles with isotonic probability calibration; and (4) Game-Theoretic Explainability—integrating SHAP (Shapley Additive exPlanations) values to generate unit-level force plots for every flagged facility.</w:t>
      </w:r>
    </w:p>
    <w:p>
      <w:pPr>
        <w:keepNext/>
        <w:spacing w:before="240" w:after="120"/>
        <w:jc w:val="left"/>
      </w:pPr>
      <w:r>
        <w:rPr>
          <w:rFonts w:ascii="Times New Roman" w:hAnsi="Times New Roman"/>
          <w:b/>
          <w:color w:val="19375F"/>
          <w:sz w:val="24"/>
        </w:rPr>
        <w:t>Future Scope</w:t>
      </w:r>
    </w:p>
    <w:p>
      <w:pPr>
        <w:spacing w:after="120" w:line="276" w:lineRule="auto"/>
        <w:jc w:val="left"/>
      </w:pPr>
      <w:r>
        <w:rPr>
          <w:rFonts w:ascii="Times New Roman" w:hAnsi="Times New Roman"/>
          <w:i w:val="0"/>
          <w:sz w:val="22"/>
        </w:rPr>
        <w:t>Beyond immediate technical refinements, this research establishes a foundation for three broader academic and industrial extensions: (1) Longitudinal Panel Econometrics (2015–2025)—constructing a balanced 10-year panel dataset to estimate fixed-effects and difference-in-differences survival models predicting exact coal plant retirement dates under the EPA Good Neighbor Plan and Clean Power Plan 2.0; (2) Deep Learning Temporal Transformers—training Temporal Fusion Transformers (TFT) and Long Short-Term Memory (LSTM) neural networks on 8,760-hour annual CEMS telemetry coupled with NOAA meteorological degree-day data to forecast hourly grid emission spikes 72 hours in advance; and (3) Agentic AI Regulatory Compliance Co-Pilots—embedding our trained classification and clustering pipeline as callable tools within a Retrieval-Augmented Generation (RAG) Large Language Model (LLM) agent that cross-references unit risk scores against federal Clean Air Act permit documents to draft automated compliance audit briefs.</w:t>
      </w:r>
    </w:p>
    <w:p>
      <w:pPr>
        <w:keepNext/>
        <w:spacing w:before="320" w:after="160"/>
        <w:jc w:val="center"/>
      </w:pPr>
      <w:r>
        <w:rPr>
          <w:rFonts w:ascii="Times New Roman" w:hAnsi="Times New Roman"/>
          <w:b/>
          <w:color w:val="0F2240"/>
          <w:sz w:val="28"/>
        </w:rPr>
        <w:t>8. Bibliography</w:t>
      </w:r>
    </w:p>
    <w:p>
      <w:pPr>
        <w:spacing w:after="120" w:line="276" w:lineRule="auto"/>
        <w:ind w:left="720" w:hanging="720"/>
      </w:pPr>
      <w:r>
        <w:rPr>
          <w:rFonts w:ascii="Times New Roman" w:hAnsi="Times New Roman"/>
          <w:sz w:val="20"/>
        </w:rPr>
        <w:t>Breiman, L. (2001). Random forests. Machine Learning, 45(1), 5–32. https://doi.org/10.1023/A:1010933404324</w:t>
      </w:r>
    </w:p>
    <w:p>
      <w:pPr>
        <w:spacing w:after="120" w:line="276" w:lineRule="auto"/>
        <w:ind w:left="720" w:hanging="720"/>
      </w:pPr>
      <w:r>
        <w:rPr>
          <w:rFonts w:ascii="Times New Roman" w:hAnsi="Times New Roman"/>
          <w:sz w:val="20"/>
        </w:rPr>
        <w:t>Burtraw, D., Palmer, K., Paul, A., Beasley, B., &amp; Woerman, M. (2012). Reliability in the U.S. electricity industry under carbon constraints. Energy Policy, 51, 24–34. https://doi.org/10.1016/j.enpol.2012.08.045</w:t>
      </w:r>
    </w:p>
    <w:p>
      <w:pPr>
        <w:spacing w:after="120" w:line="276" w:lineRule="auto"/>
        <w:ind w:left="720" w:hanging="720"/>
      </w:pPr>
      <w:r>
        <w:rPr>
          <w:rFonts w:ascii="Times New Roman" w:hAnsi="Times New Roman"/>
          <w:sz w:val="20"/>
        </w:rPr>
        <w:t>Cochran, W. G. (1977). Sampling techniques (3rd ed.). John Wiley &amp; Sons.</w:t>
      </w:r>
    </w:p>
    <w:p>
      <w:pPr>
        <w:spacing w:after="120" w:line="276" w:lineRule="auto"/>
        <w:ind w:left="720" w:hanging="720"/>
      </w:pPr>
      <w:r>
        <w:rPr>
          <w:rFonts w:ascii="Times New Roman" w:hAnsi="Times New Roman"/>
          <w:sz w:val="20"/>
        </w:rPr>
        <w:t>Cohen, J. (1988). Statistical power analysis for the behavioral sciences (2nd ed.). Lawrence Erlbaum Associates.</w:t>
      </w:r>
    </w:p>
    <w:p>
      <w:pPr>
        <w:spacing w:after="120" w:line="276" w:lineRule="auto"/>
        <w:ind w:left="720" w:hanging="720"/>
      </w:pPr>
      <w:r>
        <w:rPr>
          <w:rFonts w:ascii="Times New Roman" w:hAnsi="Times New Roman"/>
          <w:sz w:val="20"/>
        </w:rPr>
        <w:t>Ellis, B., Smith, A., &amp; McCarthy, J. (2019). Evaluating emissions trading programs using facility-level data. Energy Policy, 129, 870–882. https://doi.org/10.1016/j.enpol.2019.03.020</w:t>
      </w:r>
    </w:p>
    <w:p>
      <w:pPr>
        <w:spacing w:after="120" w:line="276" w:lineRule="auto"/>
        <w:ind w:left="720" w:hanging="720"/>
      </w:pPr>
      <w:r>
        <w:rPr>
          <w:rFonts w:ascii="Times New Roman" w:hAnsi="Times New Roman"/>
          <w:sz w:val="20"/>
        </w:rPr>
        <w:t>Field, A. (2018). Discovering statistics using IBM SPSS statistics (5th ed.). SAGE Publications.</w:t>
      </w:r>
    </w:p>
    <w:p>
      <w:pPr>
        <w:spacing w:after="120" w:line="276" w:lineRule="auto"/>
        <w:ind w:left="720" w:hanging="720"/>
      </w:pPr>
      <w:r>
        <w:rPr>
          <w:rFonts w:ascii="Times New Roman" w:hAnsi="Times New Roman"/>
          <w:sz w:val="20"/>
        </w:rPr>
        <w:t>Friedman, J. H. (2001). Greedy function approximation: A gradient boosting machine. The Annals of Statistics, 29(5), 1189–1232. https://doi.org/10.1214/aos/1013203451</w:t>
      </w:r>
    </w:p>
    <w:p>
      <w:pPr>
        <w:spacing w:after="120" w:line="276" w:lineRule="auto"/>
        <w:ind w:left="720" w:hanging="720"/>
      </w:pPr>
      <w:r>
        <w:rPr>
          <w:rFonts w:ascii="Times New Roman" w:hAnsi="Times New Roman"/>
          <w:sz w:val="20"/>
        </w:rPr>
        <w:t>Gibbons, J. D., &amp; Chakraborti, S. (2011). Nonparametric statistical inference (5th ed.). Chapman &amp; Hall/CRC Press. https://doi.org/10.1201/b10966</w:t>
      </w:r>
    </w:p>
    <w:p>
      <w:pPr>
        <w:spacing w:after="120" w:line="276" w:lineRule="auto"/>
        <w:ind w:left="720" w:hanging="720"/>
      </w:pPr>
      <w:r>
        <w:rPr>
          <w:rFonts w:ascii="Times New Roman" w:hAnsi="Times New Roman"/>
          <w:sz w:val="20"/>
        </w:rPr>
        <w:t>Harrington, W., Morgenstern, R. D., &amp; Sterner, T. (2004). Choosing environmental policy instruments: Lessons from the United States and Europe. Resources for the Future Press.</w:t>
      </w:r>
    </w:p>
    <w:p>
      <w:pPr>
        <w:spacing w:after="120" w:line="276" w:lineRule="auto"/>
        <w:ind w:left="720" w:hanging="720"/>
      </w:pPr>
      <w:r>
        <w:rPr>
          <w:rFonts w:ascii="Times New Roman" w:hAnsi="Times New Roman"/>
          <w:sz w:val="20"/>
        </w:rPr>
        <w:t>Hollander, M., Wolfe, D. A., &amp; Chicken, E. (2014). Nonparametric statistical methods (3rd ed.). John Wiley &amp; Sons. https://doi.org/10.1002/9781119196037</w:t>
      </w:r>
    </w:p>
    <w:p>
      <w:pPr>
        <w:spacing w:after="120" w:line="276" w:lineRule="auto"/>
        <w:ind w:left="720" w:hanging="720"/>
      </w:pPr>
      <w:r>
        <w:rPr>
          <w:rFonts w:ascii="Times New Roman" w:hAnsi="Times New Roman"/>
          <w:sz w:val="20"/>
        </w:rPr>
        <w:t>Kruskal, W. H., &amp; Wallis, W. A. (1952). Use of ranks in one-criterion variance analysis. Journal of the American Statistical Association, 47(260), 583–621. https://doi.org/10.1080/01621459.1952.10483441</w:t>
      </w:r>
    </w:p>
    <w:p>
      <w:pPr>
        <w:spacing w:after="120" w:line="276" w:lineRule="auto"/>
        <w:ind w:left="720" w:hanging="720"/>
      </w:pPr>
      <w:r>
        <w:rPr>
          <w:rFonts w:ascii="Times New Roman" w:hAnsi="Times New Roman"/>
          <w:sz w:val="20"/>
        </w:rPr>
        <w:t>MacQueen, J. (1967). Some methods for classification and analysis of multivariate observations. In Proceedings of the Fifth Berkeley Symposium on Mathematical Statistics and Probability (Vol. 1, pp. 281–297). University of California Press.</w:t>
      </w:r>
    </w:p>
    <w:p>
      <w:pPr>
        <w:spacing w:after="120" w:line="276" w:lineRule="auto"/>
        <w:ind w:left="720" w:hanging="720"/>
      </w:pPr>
      <w:r>
        <w:rPr>
          <w:rFonts w:ascii="Times New Roman" w:hAnsi="Times New Roman"/>
          <w:sz w:val="20"/>
        </w:rPr>
        <w:t>Montgomery, D. C., Peck, E. A., &amp; Vining, G. G. (2021). Introduction to linear regression analysis (6th ed.). John Wiley &amp; Sons.</w:t>
      </w:r>
    </w:p>
    <w:p>
      <w:pPr>
        <w:spacing w:after="120" w:line="276" w:lineRule="auto"/>
        <w:ind w:left="720" w:hanging="720"/>
      </w:pPr>
      <w:r>
        <w:rPr>
          <w:rFonts w:ascii="Times New Roman" w:hAnsi="Times New Roman"/>
          <w:sz w:val="20"/>
        </w:rPr>
        <w:t>Schmalensee, R., &amp; Stavins, R. N. (2017). Lessons learned from three decades of experience with cap-and-trade. Review of Environmental Economics and Policy, 11(1), 59–79. https://doi.org/10.1093/reep/rew017</w:t>
      </w:r>
    </w:p>
    <w:p>
      <w:pPr>
        <w:spacing w:after="120" w:line="276" w:lineRule="auto"/>
        <w:ind w:left="720" w:hanging="720"/>
      </w:pPr>
      <w:r>
        <w:rPr>
          <w:rFonts w:ascii="Times New Roman" w:hAnsi="Times New Roman"/>
          <w:sz w:val="20"/>
        </w:rPr>
        <w:t>U.S. Environmental Protection Agency. (2024). Clean Air Markets Program data: Bulk data files [Data set]. U.S. EPA. https://campd.epa.gov/data/bulk-data-files</w:t>
      </w:r>
    </w:p>
    <w:p>
      <w:pPr>
        <w:keepNext/>
        <w:spacing w:before="320" w:after="160"/>
        <w:jc w:val="center"/>
      </w:pPr>
      <w:r>
        <w:rPr>
          <w:rFonts w:ascii="Times New Roman" w:hAnsi="Times New Roman"/>
          <w:b/>
          <w:color w:val="0F2240"/>
          <w:sz w:val="28"/>
        </w:rPr>
        <w:t>9. Appendices</w:t>
      </w:r>
    </w:p>
    <w:p>
      <w:pPr>
        <w:keepNext/>
        <w:spacing w:before="240" w:after="120"/>
        <w:jc w:val="left"/>
      </w:pPr>
      <w:r>
        <w:rPr>
          <w:rFonts w:ascii="Times New Roman" w:hAnsi="Times New Roman"/>
          <w:b/>
          <w:color w:val="19375F"/>
          <w:sz w:val="24"/>
        </w:rPr>
        <w:t>Appendix A: Data Cleaning and Feature Engineering Python Source Code</w:t>
      </w:r>
    </w:p>
    <w:p>
      <w:pPr>
        <w:spacing w:after="120" w:line="276" w:lineRule="auto"/>
        <w:jc w:val="left"/>
      </w:pPr>
      <w:r>
        <w:rPr>
          <w:rFonts w:ascii="Times New Roman" w:hAnsi="Times New Roman"/>
          <w:i w:val="0"/>
          <w:sz w:val="22"/>
        </w:rPr>
        <w:t>As referenced in Section 3 (Materials and Method), the following Python code from scripts/run_capstone_analytics.py executes automated regex capacity parsing, commercial date conversion, pollution control encoding, and unit-type median imputation across the 4,050 generating units:</w:t>
      </w:r>
    </w:p>
    <w:p>
      <w:pPr>
        <w:spacing w:before="120" w:after="160" w:line="276" w:lineRule="auto"/>
        <w:ind w:left="576" w:right="576"/>
      </w:pPr>
      <w:r>
        <w:rPr>
          <w:rFonts w:ascii="Times New Roman" w:hAnsi="Times New Roman"/>
          <w:b/>
          <w:color w:val="1E4678"/>
          <w:sz w:val="20"/>
        </w:rPr>
        <w:t>Appendix A — Python Data Engineering Pipeline:</w:t>
        <w:br/>
      </w:r>
      <w:r>
        <w:rPr>
          <w:rFonts w:ascii="Times New Roman" w:hAnsi="Times New Roman"/>
          <w:i/>
          <w:sz w:val="20"/>
        </w:rPr>
        <w:t>import re</w:t>
        <w:br/>
        <w:t>import numpy as np</w:t>
        <w:br/>
        <w:t>import pandas as pd</w:t>
        <w:br/>
        <w:br/>
        <w:t># Load raw CAMPD bulk dataset (N = 4,050 generating units, 30 attributes)</w:t>
        <w:br/>
        <w:t>df = pd.read_csv('data/raw/facility-2025.csv', low_memory=False)</w:t>
        <w:br/>
        <w:br/>
        <w:t># Parse electrical nameplate capacity (MWe) from formatted text strings</w:t>
        <w:br/>
        <w:t>def parse_nameplate_capacity(val):</w:t>
        <w:br/>
        <w:t xml:space="preserve">    if pd.isna(val): return np.nan</w:t>
        <w:br/>
        <w:t xml:space="preserve">    matches = re.findall(r'\(([\d\.]+)\)', str(val))</w:t>
        <w:br/>
        <w:t xml:space="preserve">    return sum([float(m) for m in matches]) if matches else np.nan</w:t>
        <w:br/>
        <w:br/>
        <w:t>df['Capacity_MW'] = df['Associated Generators &amp; Nameplate Capacity (MWe)'].apply(parse_nameplate_capacity)</w:t>
        <w:br/>
        <w:br/>
        <w:t># Convert Commercial Operation Date to continuous Unit_Age (years as of 2025)</w:t>
        <w:br/>
        <w:t>dates = pd.to_datetime(df['Commercial Operation Date'], errors='coerce')</w:t>
        <w:br/>
        <w:t>df['Unit_Age'] = 2025 - dates.dt.year</w:t>
        <w:br/>
        <w:br/>
        <w:t># Zero-loss unit-technology median imputation</w:t>
        <w:br/>
        <w:t>df['Capacity_MW'] = df['Capacity_MW'].fillna(df.groupby('Unit_Type_Category')['Capacity_MW'].transform('median'))</w:t>
        <w:br/>
        <w:t>df['Unit_Age'] = df['Unit_Age'].fillna(df.groupby('Unit_Type_Category')['Unit_Age'].transform('median'))</w:t>
        <w:br/>
        <w:br/>
        <w:t># Multi-pollutant abatement hardware indicators (SO2, NOx, PM, Hg)</w:t>
        <w:br/>
        <w:t>for col, flag in [('SO2 Controls','Has_SO2_Control'), ('NOx Controls','Has_NOx_Control'),</w:t>
        <w:br/>
        <w:t xml:space="preserve">                  ('PM Controls','Has_PM_Control'), ('Hg Controls','Has_Hg_Control')]:</w:t>
        <w:br/>
        <w:t xml:space="preserve">    df[flag] = df[col].notna().astype(int)</w:t>
        <w:br/>
        <w:t>df['Control_Count'] = df[['Has_SO2_Control','Has_NOx_Control','Has_PM_Control','Has_Hg_Control']].sum(axis=1)</w:t>
        <w:br/>
        <w:br/>
        <w:t># Top-quartile binary classification target (High_Emitter &gt;= 2,350.0 mmBtu/hr)</w:t>
        <w:br/>
        <w:t>hi_p75 = df['Heat_Input_Rate'].quantile(0.75)</w:t>
        <w:br/>
        <w:t>df['High_Emitter'] = (df['Heat_Input_Rate'] &gt;= hi_p75).astype(int)</w:t>
      </w:r>
    </w:p>
    <w:p>
      <w:pPr>
        <w:keepNext/>
        <w:spacing w:before="240" w:after="120"/>
        <w:jc w:val="left"/>
      </w:pPr>
      <w:r>
        <w:rPr>
          <w:rFonts w:ascii="Times New Roman" w:hAnsi="Times New Roman"/>
          <w:b/>
          <w:color w:val="19375F"/>
          <w:sz w:val="24"/>
        </w:rPr>
        <w:t>Appendix B: Statistical Testing and Machine Learning Modeling Python Source Code</w:t>
      </w:r>
    </w:p>
    <w:p>
      <w:pPr>
        <w:spacing w:after="120" w:line="276" w:lineRule="auto"/>
        <w:jc w:val="left"/>
      </w:pPr>
      <w:r>
        <w:rPr>
          <w:rFonts w:ascii="Times New Roman" w:hAnsi="Times New Roman"/>
          <w:i w:val="0"/>
          <w:sz w:val="22"/>
        </w:rPr>
        <w:t>As referenced in Section 3 and Section 5, the following Python code executes the RQ1 ANOVA/Kruskal-Wallis tests, RQ2 80/20 stratified classification with 5-fold cross-validation, RQ3 OLS regressions, and RQ4 K-Means clustering and PCA:</w:t>
      </w:r>
    </w:p>
    <w:p>
      <w:pPr>
        <w:spacing w:before="120" w:after="160" w:line="276" w:lineRule="auto"/>
        <w:ind w:left="576" w:right="576"/>
      </w:pPr>
      <w:r>
        <w:rPr>
          <w:rFonts w:ascii="Times New Roman" w:hAnsi="Times New Roman"/>
          <w:b/>
          <w:color w:val="1E4678"/>
          <w:sz w:val="20"/>
        </w:rPr>
        <w:t>Appendix B — Statistical &amp; Machine Learning Execution Code:</w:t>
        <w:br/>
      </w:r>
      <w:r>
        <w:rPr>
          <w:rFonts w:ascii="Times New Roman" w:hAnsi="Times New Roman"/>
          <w:i/>
          <w:sz w:val="20"/>
        </w:rPr>
        <w:t>import scipy.stats as stats</w:t>
        <w:br/>
        <w:t>import statsmodels.api as sm</w:t>
        <w:br/>
        <w:t>from sklearn.model_selection import train_test_split, StratifiedKFold, cross_val_score</w:t>
        <w:br/>
        <w:t>from sklearn.ensemble import RandomForestClassifier, GradientBoostingClassifier</w:t>
        <w:br/>
        <w:t>from sklearn.cluster import KMeans</w:t>
        <w:br/>
        <w:t>from sklearn.decomposition import PCA</w:t>
        <w:br/>
        <w:br/>
        <w:t># RQ1: Parametric One-Way ANOVA &amp; Non-Parametric Kruskal-Wallis</w:t>
        <w:br/>
        <w:t>fuel_groups = [grp['Heat_Input_Rate'].values for _, grp in df.groupby('Fuel_Category')]</w:t>
        <w:br/>
        <w:t>f_stat, p_val_anova = stats.f_oneway(*fuel_groups)</w:t>
        <w:br/>
        <w:t>kw_stat, p_val_kw = stats.kruskal(*fuel_groups)</w:t>
        <w:br/>
        <w:br/>
        <w:t># RQ2: Stratified 80/20 Split (N_train = 3,240; N_test = 810) &amp; 5-Fold Cross-Validation</w:t>
        <w:br/>
        <w:t>X_train, X_test, y_train, y_test = train_test_split(X, y, test_size=0.20, random_state=42, stratify=y)</w:t>
        <w:br/>
        <w:t>rf_model = RandomForestClassifier(n_estimators=150, max_depth=10, class_weight='balanced', random_state=42).fit(X_train, y_train)</w:t>
        <w:br/>
        <w:t>gb_model = GradientBoostingClassifier(n_estimators=100, max_depth=5, learning_rate=0.1, random_state=42).fit(X_train, y_train)</w:t>
        <w:br/>
        <w:br/>
        <w:t># RQ3: Bivariate &amp; Multivariate OLS Econometric Regressions (N = 4,050, df = 4,046)</w:t>
        <w:br/>
        <w:t>ols_simple = sm.OLS(df['Heat_Input_Rate'], sm.add_constant(df['Unit_Age'])).fit()</w:t>
        <w:br/>
        <w:t>ols_multi = sm.OLS(df['Heat_Input_Rate'], sm.add_constant(df[['Unit_Age', 'Capacity_MW', 'Control_Count']])).fit()</w:t>
        <w:br/>
        <w:br/>
        <w:t># RQ4: K-Means Clustering (k = 4) &amp; 2D Principal Component Analysis</w:t>
        <w:br/>
        <w:t>kmeans_opt = KMeans(n_clusters=4, random_state=42, n_init=15).fit(X_clus_scaled)</w:t>
        <w:br/>
        <w:t>X_pca = PCA(n_components=2, random_state=42).fit_transform(X_clus_scaled)</w:t>
      </w:r>
    </w:p>
    <w:p>
      <w:pPr>
        <w:keepNext/>
        <w:spacing w:before="240" w:after="120"/>
        <w:jc w:val="left"/>
      </w:pPr>
      <w:r>
        <w:rPr>
          <w:rFonts w:ascii="Times New Roman" w:hAnsi="Times New Roman"/>
          <w:b/>
          <w:color w:val="19375F"/>
          <w:sz w:val="24"/>
        </w:rPr>
        <w:t>Appendix C: Exhaustive Tukey HSD Pairwise Multiple Comparisons Table (RQ1)</w:t>
      </w:r>
    </w:p>
    <w:p>
      <w:pPr>
        <w:spacing w:after="120" w:line="276" w:lineRule="auto"/>
        <w:jc w:val="left"/>
      </w:pPr>
      <w:r>
        <w:rPr>
          <w:rFonts w:ascii="Times New Roman" w:hAnsi="Times New Roman"/>
          <w:i w:val="0"/>
          <w:sz w:val="22"/>
        </w:rPr>
        <w:t>As referenced in Section 5 (Results by Research Question — RQ1), Table C1 reports the complete post-hoc pairwise comparisons of Maximum Hourly Heat Input Rate (mmBtu/hr) across all five primary fuel categories at family-wise α = 0.05.</w:t>
      </w:r>
    </w:p>
    <w:p>
      <w:pPr>
        <w:keepNext/>
        <w:spacing w:before="240" w:after="40"/>
      </w:pPr>
      <w:r>
        <w:rPr>
          <w:rFonts w:ascii="Times New Roman" w:hAnsi="Times New Roman"/>
          <w:b/>
          <w:sz w:val="22"/>
        </w:rPr>
        <w:t>Table C1</w:t>
      </w:r>
    </w:p>
    <w:p>
      <w:pPr>
        <w:keepNext/>
        <w:spacing w:before="0" w:after="120"/>
      </w:pPr>
      <w:r>
        <w:rPr>
          <w:rFonts w:ascii="Times New Roman" w:hAnsi="Times New Roman"/>
          <w:i/>
          <w:sz w:val="22"/>
        </w:rPr>
        <w:t>Exhaustive Tukey HSD Pairwise Multiple Comparisons Across Fuel Categories</w:t>
      </w:r>
    </w:p>
    <w:tbl>
      <w:tblPr>
        <w:tblW w:type="auto" w:w="0"/>
        <w:tblLook w:firstColumn="1" w:firstRow="1" w:lastColumn="0" w:lastRow="0" w:noHBand="0" w:noVBand="1" w:val="04A0"/>
        <w:jc w:val="center"/>
        <w:tblBorders>
          <w:top w:val="single" w:sz="12" w:space="0" w:color="000000"/>
          <w:bottom w:val="single" w:sz="12" w:space="0" w:color="000000"/>
          <w:insideH w:val="single" w:sz="4" w:space="0" w:color="E5E5E5"/>
          <w:insideV w:val="none"/>
          <w:left w:val="none"/>
          <w:right w:val="none"/>
        </w:tblBorders>
      </w:tblPr>
      <w:tblGrid>
        <w:gridCol w:w="1337"/>
        <w:gridCol w:w="1337"/>
        <w:gridCol w:w="1337"/>
        <w:gridCol w:w="1337"/>
        <w:gridCol w:w="1337"/>
        <w:gridCol w:w="1337"/>
        <w:gridCol w:w="1337"/>
      </w:tblGrid>
      <w:tr>
        <w:trPr>
          <w:tblHeader/>
        </w:trPr>
        <w:tc>
          <w:tcPr>
            <w:tcW w:type="dxa" w:w="1584"/>
            <w:tcBorders>
              <w:bottom w:val="single" w:sz="12" w:space="0" w:color="000000"/>
            </w:tcBorders>
            <w:shd w:fill="F4F6F8"/>
          </w:tcPr>
          <w:p>
            <w:pPr>
              <w:spacing w:before="60" w:after="60" w:line="240" w:lineRule="auto"/>
              <w:jc w:val="center"/>
            </w:pPr>
            <w:r>
              <w:rPr>
                <w:rFonts w:ascii="Times New Roman" w:hAnsi="Times New Roman"/>
                <w:b/>
                <w:sz w:val="19"/>
              </w:rPr>
              <w:t>Fuel Group 1</w:t>
            </w:r>
          </w:p>
        </w:tc>
        <w:tc>
          <w:tcPr>
            <w:tcW w:type="dxa" w:w="1584"/>
            <w:tcBorders>
              <w:bottom w:val="single" w:sz="12" w:space="0" w:color="000000"/>
            </w:tcBorders>
            <w:shd w:fill="F4F6F8"/>
          </w:tcPr>
          <w:p>
            <w:pPr>
              <w:spacing w:before="60" w:after="60" w:line="240" w:lineRule="auto"/>
              <w:jc w:val="center"/>
            </w:pPr>
            <w:r>
              <w:rPr>
                <w:rFonts w:ascii="Times New Roman" w:hAnsi="Times New Roman"/>
                <w:b/>
                <w:sz w:val="19"/>
              </w:rPr>
              <w:t>Fuel Group 2</w:t>
            </w:r>
          </w:p>
        </w:tc>
        <w:tc>
          <w:tcPr>
            <w:tcW w:type="dxa" w:w="1440"/>
            <w:tcBorders>
              <w:bottom w:val="single" w:sz="12" w:space="0" w:color="000000"/>
            </w:tcBorders>
            <w:shd w:fill="F4F6F8"/>
          </w:tcPr>
          <w:p>
            <w:pPr>
              <w:spacing w:before="60" w:after="60" w:line="240" w:lineRule="auto"/>
              <w:jc w:val="center"/>
            </w:pPr>
            <w:r>
              <w:rPr>
                <w:rFonts w:ascii="Times New Roman" w:hAnsi="Times New Roman"/>
                <w:b/>
                <w:sz w:val="19"/>
              </w:rPr>
              <w:t>Mean Diff</w:t>
            </w:r>
          </w:p>
        </w:tc>
        <w:tc>
          <w:tcPr>
            <w:tcW w:type="dxa" w:w="1008"/>
            <w:tcBorders>
              <w:bottom w:val="single" w:sz="12" w:space="0" w:color="000000"/>
            </w:tcBorders>
            <w:shd w:fill="F4F6F8"/>
          </w:tcPr>
          <w:p>
            <w:pPr>
              <w:spacing w:before="60" w:after="60" w:line="240" w:lineRule="auto"/>
              <w:jc w:val="center"/>
            </w:pPr>
            <w:r>
              <w:rPr>
                <w:rFonts w:ascii="Times New Roman" w:hAnsi="Times New Roman"/>
                <w:b/>
                <w:sz w:val="19"/>
              </w:rPr>
              <w:t>p-adj</w:t>
            </w:r>
          </w:p>
        </w:tc>
        <w:tc>
          <w:tcPr>
            <w:tcW w:type="dxa" w:w="1440"/>
            <w:tcBorders>
              <w:bottom w:val="single" w:sz="12" w:space="0" w:color="000000"/>
            </w:tcBorders>
            <w:shd w:fill="F4F6F8"/>
          </w:tcPr>
          <w:p>
            <w:pPr>
              <w:spacing w:before="60" w:after="60" w:line="240" w:lineRule="auto"/>
              <w:jc w:val="center"/>
            </w:pPr>
            <w:r>
              <w:rPr>
                <w:rFonts w:ascii="Times New Roman" w:hAnsi="Times New Roman"/>
                <w:b/>
                <w:sz w:val="19"/>
              </w:rPr>
              <w:t>95% CI Lower</w:t>
            </w:r>
          </w:p>
        </w:tc>
        <w:tc>
          <w:tcPr>
            <w:tcW w:type="dxa" w:w="1440"/>
            <w:tcBorders>
              <w:bottom w:val="single" w:sz="12" w:space="0" w:color="000000"/>
            </w:tcBorders>
            <w:shd w:fill="F4F6F8"/>
          </w:tcPr>
          <w:p>
            <w:pPr>
              <w:spacing w:before="60" w:after="60" w:line="240" w:lineRule="auto"/>
              <w:jc w:val="center"/>
            </w:pPr>
            <w:r>
              <w:rPr>
                <w:rFonts w:ascii="Times New Roman" w:hAnsi="Times New Roman"/>
                <w:b/>
                <w:sz w:val="19"/>
              </w:rPr>
              <w:t>95% CI Upper</w:t>
            </w:r>
          </w:p>
        </w:tc>
        <w:tc>
          <w:tcPr>
            <w:tcW w:type="dxa" w:w="1584"/>
            <w:tcBorders>
              <w:bottom w:val="single" w:sz="12" w:space="0" w:color="000000"/>
            </w:tcBorders>
            <w:shd w:fill="F4F6F8"/>
          </w:tcPr>
          <w:p>
            <w:pPr>
              <w:spacing w:before="60" w:after="60" w:line="240" w:lineRule="auto"/>
              <w:jc w:val="center"/>
            </w:pPr>
            <w:r>
              <w:rPr>
                <w:rFonts w:ascii="Times New Roman" w:hAnsi="Times New Roman"/>
                <w:b/>
                <w:sz w:val="19"/>
              </w:rPr>
              <w:t>Reject H0 (α=0.05)</w:t>
            </w:r>
          </w:p>
        </w:tc>
      </w:tr>
      <w:tr>
        <w:tc>
          <w:tcPr>
            <w:tcW w:type="dxa" w:w="1584"/>
          </w:tcPr>
          <w:p>
            <w:pPr>
              <w:spacing w:before="40" w:after="40" w:line="252" w:lineRule="auto"/>
              <w:jc w:val="left"/>
            </w:pPr>
            <w:r>
              <w:rPr>
                <w:rFonts w:ascii="Times New Roman" w:hAnsi="Times New Roman"/>
                <w:sz w:val="18"/>
              </w:rPr>
              <w:t>Biomass</w:t>
            </w:r>
          </w:p>
        </w:tc>
        <w:tc>
          <w:tcPr>
            <w:tcW w:type="dxa" w:w="1584"/>
          </w:tcPr>
          <w:p>
            <w:pPr>
              <w:spacing w:before="40" w:after="40" w:line="252" w:lineRule="auto"/>
              <w:jc w:val="left"/>
            </w:pPr>
            <w:r>
              <w:rPr>
                <w:rFonts w:ascii="Times New Roman" w:hAnsi="Times New Roman"/>
                <w:sz w:val="18"/>
              </w:rPr>
              <w:t>Coal</w:t>
            </w:r>
          </w:p>
        </w:tc>
        <w:tc>
          <w:tcPr>
            <w:tcW w:type="dxa" w:w="1440"/>
          </w:tcPr>
          <w:p>
            <w:pPr>
              <w:spacing w:before="40" w:after="40" w:line="252" w:lineRule="auto"/>
              <w:jc w:val="left"/>
            </w:pPr>
            <w:r>
              <w:rPr>
                <w:rFonts w:ascii="Times New Roman" w:hAnsi="Times New Roman"/>
                <w:sz w:val="18"/>
              </w:rPr>
              <w:t>4,483.7</w:t>
            </w:r>
          </w:p>
        </w:tc>
        <w:tc>
          <w:tcPr>
            <w:tcW w:type="dxa" w:w="1008"/>
          </w:tcPr>
          <w:p>
            <w:pPr>
              <w:spacing w:before="40" w:after="40" w:line="252" w:lineRule="auto"/>
              <w:jc w:val="left"/>
            </w:pPr>
            <w:r>
              <w:rPr>
                <w:rFonts w:ascii="Times New Roman" w:hAnsi="Times New Roman"/>
                <w:sz w:val="18"/>
              </w:rPr>
              <w:t>0.0000</w:t>
            </w:r>
          </w:p>
        </w:tc>
        <w:tc>
          <w:tcPr>
            <w:tcW w:type="dxa" w:w="1440"/>
          </w:tcPr>
          <w:p>
            <w:pPr>
              <w:spacing w:before="40" w:after="40" w:line="252" w:lineRule="auto"/>
              <w:jc w:val="left"/>
            </w:pPr>
            <w:r>
              <w:rPr>
                <w:rFonts w:ascii="Times New Roman" w:hAnsi="Times New Roman"/>
                <w:sz w:val="18"/>
              </w:rPr>
              <w:t>3,553.0</w:t>
            </w:r>
          </w:p>
        </w:tc>
        <w:tc>
          <w:tcPr>
            <w:tcW w:type="dxa" w:w="1440"/>
          </w:tcPr>
          <w:p>
            <w:pPr>
              <w:spacing w:before="40" w:after="40" w:line="252" w:lineRule="auto"/>
              <w:jc w:val="left"/>
            </w:pPr>
            <w:r>
              <w:rPr>
                <w:rFonts w:ascii="Times New Roman" w:hAnsi="Times New Roman"/>
                <w:sz w:val="18"/>
              </w:rPr>
              <w:t>5,414.5</w:t>
            </w:r>
          </w:p>
        </w:tc>
        <w:tc>
          <w:tcPr>
            <w:tcW w:type="dxa" w:w="1584"/>
          </w:tcPr>
          <w:p>
            <w:pPr>
              <w:spacing w:before="40" w:after="40" w:line="252" w:lineRule="auto"/>
              <w:jc w:val="left"/>
            </w:pPr>
            <w:r>
              <w:rPr>
                <w:rFonts w:ascii="Times New Roman" w:hAnsi="Times New Roman"/>
                <w:sz w:val="18"/>
              </w:rPr>
              <w:t>Yes (Significant)</w:t>
            </w:r>
          </w:p>
        </w:tc>
      </w:tr>
      <w:tr>
        <w:tc>
          <w:tcPr>
            <w:tcW w:type="dxa" w:w="1584"/>
            <w:shd w:fill="FAFAFA"/>
          </w:tcPr>
          <w:p>
            <w:pPr>
              <w:spacing w:before="40" w:after="40" w:line="252" w:lineRule="auto"/>
              <w:jc w:val="left"/>
            </w:pPr>
            <w:r>
              <w:rPr>
                <w:rFonts w:ascii="Times New Roman" w:hAnsi="Times New Roman"/>
                <w:sz w:val="18"/>
              </w:rPr>
              <w:t>Biomass</w:t>
            </w:r>
          </w:p>
        </w:tc>
        <w:tc>
          <w:tcPr>
            <w:tcW w:type="dxa" w:w="1584"/>
            <w:shd w:fill="FAFAFA"/>
          </w:tcPr>
          <w:p>
            <w:pPr>
              <w:spacing w:before="40" w:after="40" w:line="252" w:lineRule="auto"/>
              <w:jc w:val="left"/>
            </w:pPr>
            <w:r>
              <w:rPr>
                <w:rFonts w:ascii="Times New Roman" w:hAnsi="Times New Roman"/>
                <w:sz w:val="18"/>
              </w:rPr>
              <w:t>Natural Gas</w:t>
            </w:r>
          </w:p>
        </w:tc>
        <w:tc>
          <w:tcPr>
            <w:tcW w:type="dxa" w:w="1440"/>
            <w:shd w:fill="FAFAFA"/>
          </w:tcPr>
          <w:p>
            <w:pPr>
              <w:spacing w:before="40" w:after="40" w:line="252" w:lineRule="auto"/>
              <w:jc w:val="left"/>
            </w:pPr>
            <w:r>
              <w:rPr>
                <w:rFonts w:ascii="Times New Roman" w:hAnsi="Times New Roman"/>
                <w:sz w:val="18"/>
              </w:rPr>
              <w:t>815.6</w:t>
            </w:r>
          </w:p>
        </w:tc>
        <w:tc>
          <w:tcPr>
            <w:tcW w:type="dxa" w:w="1008"/>
            <w:shd w:fill="FAFAFA"/>
          </w:tcPr>
          <w:p>
            <w:pPr>
              <w:spacing w:before="40" w:after="40" w:line="252" w:lineRule="auto"/>
              <w:jc w:val="left"/>
            </w:pPr>
            <w:r>
              <w:rPr>
                <w:rFonts w:ascii="Times New Roman" w:hAnsi="Times New Roman"/>
                <w:sz w:val="18"/>
              </w:rPr>
              <w:t>0.1034</w:t>
            </w:r>
          </w:p>
        </w:tc>
        <w:tc>
          <w:tcPr>
            <w:tcW w:type="dxa" w:w="1440"/>
            <w:shd w:fill="FAFAFA"/>
          </w:tcPr>
          <w:p>
            <w:pPr>
              <w:spacing w:before="40" w:after="40" w:line="252" w:lineRule="auto"/>
              <w:jc w:val="left"/>
            </w:pPr>
            <w:r>
              <w:rPr>
                <w:rFonts w:ascii="Times New Roman" w:hAnsi="Times New Roman"/>
                <w:sz w:val="18"/>
              </w:rPr>
              <w:t>-94.2</w:t>
            </w:r>
          </w:p>
        </w:tc>
        <w:tc>
          <w:tcPr>
            <w:tcW w:type="dxa" w:w="1440"/>
            <w:shd w:fill="FAFAFA"/>
          </w:tcPr>
          <w:p>
            <w:pPr>
              <w:spacing w:before="40" w:after="40" w:line="252" w:lineRule="auto"/>
              <w:jc w:val="left"/>
            </w:pPr>
            <w:r>
              <w:rPr>
                <w:rFonts w:ascii="Times New Roman" w:hAnsi="Times New Roman"/>
                <w:sz w:val="18"/>
              </w:rPr>
              <w:t>1,725.3</w:t>
            </w:r>
          </w:p>
        </w:tc>
        <w:tc>
          <w:tcPr>
            <w:tcW w:type="dxa" w:w="1584"/>
            <w:shd w:fill="FAFAFA"/>
          </w:tcPr>
          <w:p>
            <w:pPr>
              <w:spacing w:before="40" w:after="40" w:line="252" w:lineRule="auto"/>
              <w:jc w:val="left"/>
            </w:pPr>
            <w:r>
              <w:rPr>
                <w:rFonts w:ascii="Times New Roman" w:hAnsi="Times New Roman"/>
                <w:sz w:val="18"/>
              </w:rPr>
              <w:t>No (Not Significant)</w:t>
            </w:r>
          </w:p>
        </w:tc>
      </w:tr>
      <w:tr>
        <w:tc>
          <w:tcPr>
            <w:tcW w:type="dxa" w:w="1584"/>
          </w:tcPr>
          <w:p>
            <w:pPr>
              <w:spacing w:before="40" w:after="40" w:line="252" w:lineRule="auto"/>
              <w:jc w:val="left"/>
            </w:pPr>
            <w:r>
              <w:rPr>
                <w:rFonts w:ascii="Times New Roman" w:hAnsi="Times New Roman"/>
                <w:sz w:val="18"/>
              </w:rPr>
              <w:t>Biomass</w:t>
            </w:r>
          </w:p>
        </w:tc>
        <w:tc>
          <w:tcPr>
            <w:tcW w:type="dxa" w:w="1584"/>
          </w:tcPr>
          <w:p>
            <w:pPr>
              <w:spacing w:before="40" w:after="40" w:line="252" w:lineRule="auto"/>
              <w:jc w:val="left"/>
            </w:pPr>
            <w:r>
              <w:rPr>
                <w:rFonts w:ascii="Times New Roman" w:hAnsi="Times New Roman"/>
                <w:sz w:val="18"/>
              </w:rPr>
              <w:t>Oil / Diesel</w:t>
            </w:r>
          </w:p>
        </w:tc>
        <w:tc>
          <w:tcPr>
            <w:tcW w:type="dxa" w:w="1440"/>
          </w:tcPr>
          <w:p>
            <w:pPr>
              <w:spacing w:before="40" w:after="40" w:line="252" w:lineRule="auto"/>
              <w:jc w:val="left"/>
            </w:pPr>
            <w:r>
              <w:rPr>
                <w:rFonts w:ascii="Times New Roman" w:hAnsi="Times New Roman"/>
                <w:sz w:val="18"/>
              </w:rPr>
              <w:t>39.2</w:t>
            </w:r>
          </w:p>
        </w:tc>
        <w:tc>
          <w:tcPr>
            <w:tcW w:type="dxa" w:w="1008"/>
          </w:tcPr>
          <w:p>
            <w:pPr>
              <w:spacing w:before="40" w:after="40" w:line="252" w:lineRule="auto"/>
              <w:jc w:val="left"/>
            </w:pPr>
            <w:r>
              <w:rPr>
                <w:rFonts w:ascii="Times New Roman" w:hAnsi="Times New Roman"/>
                <w:sz w:val="18"/>
              </w:rPr>
              <w:t>1.0000</w:t>
            </w:r>
          </w:p>
        </w:tc>
        <w:tc>
          <w:tcPr>
            <w:tcW w:type="dxa" w:w="1440"/>
          </w:tcPr>
          <w:p>
            <w:pPr>
              <w:spacing w:before="40" w:after="40" w:line="252" w:lineRule="auto"/>
              <w:jc w:val="left"/>
            </w:pPr>
            <w:r>
              <w:rPr>
                <w:rFonts w:ascii="Times New Roman" w:hAnsi="Times New Roman"/>
                <w:sz w:val="18"/>
              </w:rPr>
              <w:t>-900.1</w:t>
            </w:r>
          </w:p>
        </w:tc>
        <w:tc>
          <w:tcPr>
            <w:tcW w:type="dxa" w:w="1440"/>
          </w:tcPr>
          <w:p>
            <w:pPr>
              <w:spacing w:before="40" w:after="40" w:line="252" w:lineRule="auto"/>
              <w:jc w:val="left"/>
            </w:pPr>
            <w:r>
              <w:rPr>
                <w:rFonts w:ascii="Times New Roman" w:hAnsi="Times New Roman"/>
                <w:sz w:val="18"/>
              </w:rPr>
              <w:t>978.5</w:t>
            </w:r>
          </w:p>
        </w:tc>
        <w:tc>
          <w:tcPr>
            <w:tcW w:type="dxa" w:w="1584"/>
          </w:tcPr>
          <w:p>
            <w:pPr>
              <w:spacing w:before="40" w:after="40" w:line="252" w:lineRule="auto"/>
              <w:jc w:val="left"/>
            </w:pPr>
            <w:r>
              <w:rPr>
                <w:rFonts w:ascii="Times New Roman" w:hAnsi="Times New Roman"/>
                <w:sz w:val="18"/>
              </w:rPr>
              <w:t>No (Not Significant)</w:t>
            </w:r>
          </w:p>
        </w:tc>
      </w:tr>
      <w:tr>
        <w:tc>
          <w:tcPr>
            <w:tcW w:type="dxa" w:w="1584"/>
            <w:shd w:fill="FAFAFA"/>
          </w:tcPr>
          <w:p>
            <w:pPr>
              <w:spacing w:before="40" w:after="40" w:line="252" w:lineRule="auto"/>
              <w:jc w:val="left"/>
            </w:pPr>
            <w:r>
              <w:rPr>
                <w:rFonts w:ascii="Times New Roman" w:hAnsi="Times New Roman"/>
                <w:sz w:val="18"/>
              </w:rPr>
              <w:t>Biomass</w:t>
            </w:r>
          </w:p>
        </w:tc>
        <w:tc>
          <w:tcPr>
            <w:tcW w:type="dxa" w:w="1584"/>
            <w:shd w:fill="FAFAFA"/>
          </w:tcPr>
          <w:p>
            <w:pPr>
              <w:spacing w:before="40" w:after="40" w:line="252" w:lineRule="auto"/>
              <w:jc w:val="left"/>
            </w:pPr>
            <w:r>
              <w:rPr>
                <w:rFonts w:ascii="Times New Roman" w:hAnsi="Times New Roman"/>
                <w:sz w:val="18"/>
              </w:rPr>
              <w:t>Other/Unknown</w:t>
            </w:r>
          </w:p>
        </w:tc>
        <w:tc>
          <w:tcPr>
            <w:tcW w:type="dxa" w:w="1440"/>
            <w:shd w:fill="FAFAFA"/>
          </w:tcPr>
          <w:p>
            <w:pPr>
              <w:spacing w:before="40" w:after="40" w:line="252" w:lineRule="auto"/>
              <w:jc w:val="left"/>
            </w:pPr>
            <w:r>
              <w:rPr>
                <w:rFonts w:ascii="Times New Roman" w:hAnsi="Times New Roman"/>
                <w:sz w:val="18"/>
              </w:rPr>
              <w:t>541.8</w:t>
            </w:r>
          </w:p>
        </w:tc>
        <w:tc>
          <w:tcPr>
            <w:tcW w:type="dxa" w:w="1008"/>
            <w:shd w:fill="FAFAFA"/>
          </w:tcPr>
          <w:p>
            <w:pPr>
              <w:spacing w:before="40" w:after="40" w:line="252" w:lineRule="auto"/>
              <w:jc w:val="left"/>
            </w:pPr>
            <w:r>
              <w:rPr>
                <w:rFonts w:ascii="Times New Roman" w:hAnsi="Times New Roman"/>
                <w:sz w:val="18"/>
              </w:rPr>
              <w:t>0.6776</w:t>
            </w:r>
          </w:p>
        </w:tc>
        <w:tc>
          <w:tcPr>
            <w:tcW w:type="dxa" w:w="1440"/>
            <w:shd w:fill="FAFAFA"/>
          </w:tcPr>
          <w:p>
            <w:pPr>
              <w:spacing w:before="40" w:after="40" w:line="252" w:lineRule="auto"/>
              <w:jc w:val="left"/>
            </w:pPr>
            <w:r>
              <w:rPr>
                <w:rFonts w:ascii="Times New Roman" w:hAnsi="Times New Roman"/>
                <w:sz w:val="18"/>
              </w:rPr>
              <w:t>-576.8</w:t>
            </w:r>
          </w:p>
        </w:tc>
        <w:tc>
          <w:tcPr>
            <w:tcW w:type="dxa" w:w="1440"/>
            <w:shd w:fill="FAFAFA"/>
          </w:tcPr>
          <w:p>
            <w:pPr>
              <w:spacing w:before="40" w:after="40" w:line="252" w:lineRule="auto"/>
              <w:jc w:val="left"/>
            </w:pPr>
            <w:r>
              <w:rPr>
                <w:rFonts w:ascii="Times New Roman" w:hAnsi="Times New Roman"/>
                <w:sz w:val="18"/>
              </w:rPr>
              <w:t>1,660.4</w:t>
            </w:r>
          </w:p>
        </w:tc>
        <w:tc>
          <w:tcPr>
            <w:tcW w:type="dxa" w:w="1584"/>
            <w:shd w:fill="FAFAFA"/>
          </w:tcPr>
          <w:p>
            <w:pPr>
              <w:spacing w:before="40" w:after="40" w:line="252" w:lineRule="auto"/>
              <w:jc w:val="left"/>
            </w:pPr>
            <w:r>
              <w:rPr>
                <w:rFonts w:ascii="Times New Roman" w:hAnsi="Times New Roman"/>
                <w:sz w:val="18"/>
              </w:rPr>
              <w:t>No (Not Significant)</w:t>
            </w:r>
          </w:p>
        </w:tc>
      </w:tr>
      <w:tr>
        <w:tc>
          <w:tcPr>
            <w:tcW w:type="dxa" w:w="1584"/>
          </w:tcPr>
          <w:p>
            <w:pPr>
              <w:spacing w:before="40" w:after="40" w:line="252" w:lineRule="auto"/>
              <w:jc w:val="left"/>
            </w:pPr>
            <w:r>
              <w:rPr>
                <w:rFonts w:ascii="Times New Roman" w:hAnsi="Times New Roman"/>
                <w:sz w:val="18"/>
              </w:rPr>
              <w:t>Coal</w:t>
            </w:r>
          </w:p>
        </w:tc>
        <w:tc>
          <w:tcPr>
            <w:tcW w:type="dxa" w:w="1584"/>
          </w:tcPr>
          <w:p>
            <w:pPr>
              <w:spacing w:before="40" w:after="40" w:line="252" w:lineRule="auto"/>
              <w:jc w:val="left"/>
            </w:pPr>
            <w:r>
              <w:rPr>
                <w:rFonts w:ascii="Times New Roman" w:hAnsi="Times New Roman"/>
                <w:sz w:val="18"/>
              </w:rPr>
              <w:t>Natural Gas</w:t>
            </w:r>
          </w:p>
        </w:tc>
        <w:tc>
          <w:tcPr>
            <w:tcW w:type="dxa" w:w="1440"/>
          </w:tcPr>
          <w:p>
            <w:pPr>
              <w:spacing w:before="40" w:after="40" w:line="252" w:lineRule="auto"/>
              <w:jc w:val="left"/>
            </w:pPr>
            <w:r>
              <w:rPr>
                <w:rFonts w:ascii="Times New Roman" w:hAnsi="Times New Roman"/>
                <w:sz w:val="18"/>
              </w:rPr>
              <w:t>-3,668.2</w:t>
            </w:r>
          </w:p>
        </w:tc>
        <w:tc>
          <w:tcPr>
            <w:tcW w:type="dxa" w:w="1008"/>
          </w:tcPr>
          <w:p>
            <w:pPr>
              <w:spacing w:before="40" w:after="40" w:line="252" w:lineRule="auto"/>
              <w:jc w:val="left"/>
            </w:pPr>
            <w:r>
              <w:rPr>
                <w:rFonts w:ascii="Times New Roman" w:hAnsi="Times New Roman"/>
                <w:sz w:val="18"/>
              </w:rPr>
              <w:t>0.0000</w:t>
            </w:r>
          </w:p>
        </w:tc>
        <w:tc>
          <w:tcPr>
            <w:tcW w:type="dxa" w:w="1440"/>
          </w:tcPr>
          <w:p>
            <w:pPr>
              <w:spacing w:before="40" w:after="40" w:line="252" w:lineRule="auto"/>
              <w:jc w:val="left"/>
            </w:pPr>
            <w:r>
              <w:rPr>
                <w:rFonts w:ascii="Times New Roman" w:hAnsi="Times New Roman"/>
                <w:sz w:val="18"/>
              </w:rPr>
              <w:t>-3,892.7</w:t>
            </w:r>
          </w:p>
        </w:tc>
        <w:tc>
          <w:tcPr>
            <w:tcW w:type="dxa" w:w="1440"/>
          </w:tcPr>
          <w:p>
            <w:pPr>
              <w:spacing w:before="40" w:after="40" w:line="252" w:lineRule="auto"/>
              <w:jc w:val="left"/>
            </w:pPr>
            <w:r>
              <w:rPr>
                <w:rFonts w:ascii="Times New Roman" w:hAnsi="Times New Roman"/>
                <w:sz w:val="18"/>
              </w:rPr>
              <w:t>-3,443.7</w:t>
            </w:r>
          </w:p>
        </w:tc>
        <w:tc>
          <w:tcPr>
            <w:tcW w:type="dxa" w:w="1584"/>
          </w:tcPr>
          <w:p>
            <w:pPr>
              <w:spacing w:before="40" w:after="40" w:line="252" w:lineRule="auto"/>
              <w:jc w:val="left"/>
            </w:pPr>
            <w:r>
              <w:rPr>
                <w:rFonts w:ascii="Times New Roman" w:hAnsi="Times New Roman"/>
                <w:sz w:val="18"/>
              </w:rPr>
              <w:t>Yes (Significant)</w:t>
            </w:r>
          </w:p>
        </w:tc>
      </w:tr>
      <w:tr>
        <w:tc>
          <w:tcPr>
            <w:tcW w:type="dxa" w:w="1584"/>
            <w:shd w:fill="FAFAFA"/>
          </w:tcPr>
          <w:p>
            <w:pPr>
              <w:spacing w:before="40" w:after="40" w:line="252" w:lineRule="auto"/>
              <w:jc w:val="left"/>
            </w:pPr>
            <w:r>
              <w:rPr>
                <w:rFonts w:ascii="Times New Roman" w:hAnsi="Times New Roman"/>
                <w:sz w:val="18"/>
              </w:rPr>
              <w:t>Coal</w:t>
            </w:r>
          </w:p>
        </w:tc>
        <w:tc>
          <w:tcPr>
            <w:tcW w:type="dxa" w:w="1584"/>
            <w:shd w:fill="FAFAFA"/>
          </w:tcPr>
          <w:p>
            <w:pPr>
              <w:spacing w:before="40" w:after="40" w:line="252" w:lineRule="auto"/>
              <w:jc w:val="left"/>
            </w:pPr>
            <w:r>
              <w:rPr>
                <w:rFonts w:ascii="Times New Roman" w:hAnsi="Times New Roman"/>
                <w:sz w:val="18"/>
              </w:rPr>
              <w:t>Oil / Diesel</w:t>
            </w:r>
          </w:p>
        </w:tc>
        <w:tc>
          <w:tcPr>
            <w:tcW w:type="dxa" w:w="1440"/>
            <w:shd w:fill="FAFAFA"/>
          </w:tcPr>
          <w:p>
            <w:pPr>
              <w:spacing w:before="40" w:after="40" w:line="252" w:lineRule="auto"/>
              <w:jc w:val="left"/>
            </w:pPr>
            <w:r>
              <w:rPr>
                <w:rFonts w:ascii="Times New Roman" w:hAnsi="Times New Roman"/>
                <w:sz w:val="18"/>
              </w:rPr>
              <w:t>-4,444.5</w:t>
            </w:r>
          </w:p>
        </w:tc>
        <w:tc>
          <w:tcPr>
            <w:tcW w:type="dxa" w:w="1008"/>
            <w:shd w:fill="FAFAFA"/>
          </w:tcPr>
          <w:p>
            <w:pPr>
              <w:spacing w:before="40" w:after="40" w:line="252" w:lineRule="auto"/>
              <w:jc w:val="left"/>
            </w:pPr>
            <w:r>
              <w:rPr>
                <w:rFonts w:ascii="Times New Roman" w:hAnsi="Times New Roman"/>
                <w:sz w:val="18"/>
              </w:rPr>
              <w:t>0.0000</w:t>
            </w:r>
          </w:p>
        </w:tc>
        <w:tc>
          <w:tcPr>
            <w:tcW w:type="dxa" w:w="1440"/>
            <w:shd w:fill="FAFAFA"/>
          </w:tcPr>
          <w:p>
            <w:pPr>
              <w:spacing w:before="40" w:after="40" w:line="252" w:lineRule="auto"/>
              <w:jc w:val="left"/>
            </w:pPr>
            <w:r>
              <w:rPr>
                <w:rFonts w:ascii="Times New Roman" w:hAnsi="Times New Roman"/>
                <w:sz w:val="18"/>
              </w:rPr>
              <w:t>-4,768.8</w:t>
            </w:r>
          </w:p>
        </w:tc>
        <w:tc>
          <w:tcPr>
            <w:tcW w:type="dxa" w:w="1440"/>
            <w:shd w:fill="FAFAFA"/>
          </w:tcPr>
          <w:p>
            <w:pPr>
              <w:spacing w:before="40" w:after="40" w:line="252" w:lineRule="auto"/>
              <w:jc w:val="left"/>
            </w:pPr>
            <w:r>
              <w:rPr>
                <w:rFonts w:ascii="Times New Roman" w:hAnsi="Times New Roman"/>
                <w:sz w:val="18"/>
              </w:rPr>
              <w:t>-4,120.3</w:t>
            </w:r>
          </w:p>
        </w:tc>
        <w:tc>
          <w:tcPr>
            <w:tcW w:type="dxa" w:w="1584"/>
            <w:shd w:fill="FAFAFA"/>
          </w:tcPr>
          <w:p>
            <w:pPr>
              <w:spacing w:before="40" w:after="40" w:line="252" w:lineRule="auto"/>
              <w:jc w:val="left"/>
            </w:pPr>
            <w:r>
              <w:rPr>
                <w:rFonts w:ascii="Times New Roman" w:hAnsi="Times New Roman"/>
                <w:sz w:val="18"/>
              </w:rPr>
              <w:t>Yes (Significant)</w:t>
            </w:r>
          </w:p>
        </w:tc>
      </w:tr>
      <w:tr>
        <w:tc>
          <w:tcPr>
            <w:tcW w:type="dxa" w:w="1584"/>
          </w:tcPr>
          <w:p>
            <w:pPr>
              <w:spacing w:before="40" w:after="40" w:line="252" w:lineRule="auto"/>
              <w:jc w:val="left"/>
            </w:pPr>
            <w:r>
              <w:rPr>
                <w:rFonts w:ascii="Times New Roman" w:hAnsi="Times New Roman"/>
                <w:sz w:val="18"/>
              </w:rPr>
              <w:t>Coal</w:t>
            </w:r>
          </w:p>
        </w:tc>
        <w:tc>
          <w:tcPr>
            <w:tcW w:type="dxa" w:w="1584"/>
          </w:tcPr>
          <w:p>
            <w:pPr>
              <w:spacing w:before="40" w:after="40" w:line="252" w:lineRule="auto"/>
              <w:jc w:val="left"/>
            </w:pPr>
            <w:r>
              <w:rPr>
                <w:rFonts w:ascii="Times New Roman" w:hAnsi="Times New Roman"/>
                <w:sz w:val="18"/>
              </w:rPr>
              <w:t>Other/Unknown</w:t>
            </w:r>
          </w:p>
        </w:tc>
        <w:tc>
          <w:tcPr>
            <w:tcW w:type="dxa" w:w="1440"/>
          </w:tcPr>
          <w:p>
            <w:pPr>
              <w:spacing w:before="40" w:after="40" w:line="252" w:lineRule="auto"/>
              <w:jc w:val="left"/>
            </w:pPr>
            <w:r>
              <w:rPr>
                <w:rFonts w:ascii="Times New Roman" w:hAnsi="Times New Roman"/>
                <w:sz w:val="18"/>
              </w:rPr>
              <w:t>-3,941.9</w:t>
            </w:r>
          </w:p>
        </w:tc>
        <w:tc>
          <w:tcPr>
            <w:tcW w:type="dxa" w:w="1008"/>
          </w:tcPr>
          <w:p>
            <w:pPr>
              <w:spacing w:before="40" w:after="40" w:line="252" w:lineRule="auto"/>
              <w:jc w:val="left"/>
            </w:pPr>
            <w:r>
              <w:rPr>
                <w:rFonts w:ascii="Times New Roman" w:hAnsi="Times New Roman"/>
                <w:sz w:val="18"/>
              </w:rPr>
              <w:t>0.0000</w:t>
            </w:r>
          </w:p>
        </w:tc>
        <w:tc>
          <w:tcPr>
            <w:tcW w:type="dxa" w:w="1440"/>
          </w:tcPr>
          <w:p>
            <w:pPr>
              <w:spacing w:before="40" w:after="40" w:line="252" w:lineRule="auto"/>
              <w:jc w:val="left"/>
            </w:pPr>
            <w:r>
              <w:rPr>
                <w:rFonts w:ascii="Times New Roman" w:hAnsi="Times New Roman"/>
                <w:sz w:val="18"/>
              </w:rPr>
              <w:t>-4,630.5</w:t>
            </w:r>
          </w:p>
        </w:tc>
        <w:tc>
          <w:tcPr>
            <w:tcW w:type="dxa" w:w="1440"/>
          </w:tcPr>
          <w:p>
            <w:pPr>
              <w:spacing w:before="40" w:after="40" w:line="252" w:lineRule="auto"/>
              <w:jc w:val="left"/>
            </w:pPr>
            <w:r>
              <w:rPr>
                <w:rFonts w:ascii="Times New Roman" w:hAnsi="Times New Roman"/>
                <w:sz w:val="18"/>
              </w:rPr>
              <w:t>-3,253.3</w:t>
            </w:r>
          </w:p>
        </w:tc>
        <w:tc>
          <w:tcPr>
            <w:tcW w:type="dxa" w:w="1584"/>
          </w:tcPr>
          <w:p>
            <w:pPr>
              <w:spacing w:before="40" w:after="40" w:line="252" w:lineRule="auto"/>
              <w:jc w:val="left"/>
            </w:pPr>
            <w:r>
              <w:rPr>
                <w:rFonts w:ascii="Times New Roman" w:hAnsi="Times New Roman"/>
                <w:sz w:val="18"/>
              </w:rPr>
              <w:t>Yes (Significant)</w:t>
            </w:r>
          </w:p>
        </w:tc>
      </w:tr>
      <w:tr>
        <w:tc>
          <w:tcPr>
            <w:tcW w:type="dxa" w:w="1584"/>
            <w:shd w:fill="FAFAFA"/>
          </w:tcPr>
          <w:p>
            <w:pPr>
              <w:spacing w:before="40" w:after="40" w:line="252" w:lineRule="auto"/>
              <w:jc w:val="left"/>
            </w:pPr>
            <w:r>
              <w:rPr>
                <w:rFonts w:ascii="Times New Roman" w:hAnsi="Times New Roman"/>
                <w:sz w:val="18"/>
              </w:rPr>
              <w:t>Natural Gas</w:t>
            </w:r>
          </w:p>
        </w:tc>
        <w:tc>
          <w:tcPr>
            <w:tcW w:type="dxa" w:w="1584"/>
            <w:shd w:fill="FAFAFA"/>
          </w:tcPr>
          <w:p>
            <w:pPr>
              <w:spacing w:before="40" w:after="40" w:line="252" w:lineRule="auto"/>
              <w:jc w:val="left"/>
            </w:pPr>
            <w:r>
              <w:rPr>
                <w:rFonts w:ascii="Times New Roman" w:hAnsi="Times New Roman"/>
                <w:sz w:val="18"/>
              </w:rPr>
              <w:t>Oil / Diesel</w:t>
            </w:r>
          </w:p>
        </w:tc>
        <w:tc>
          <w:tcPr>
            <w:tcW w:type="dxa" w:w="1440"/>
            <w:shd w:fill="FAFAFA"/>
          </w:tcPr>
          <w:p>
            <w:pPr>
              <w:spacing w:before="40" w:after="40" w:line="252" w:lineRule="auto"/>
              <w:jc w:val="left"/>
            </w:pPr>
            <w:r>
              <w:rPr>
                <w:rFonts w:ascii="Times New Roman" w:hAnsi="Times New Roman"/>
                <w:sz w:val="18"/>
              </w:rPr>
              <w:t>-776.4</w:t>
            </w:r>
          </w:p>
        </w:tc>
        <w:tc>
          <w:tcPr>
            <w:tcW w:type="dxa" w:w="1008"/>
            <w:shd w:fill="FAFAFA"/>
          </w:tcPr>
          <w:p>
            <w:pPr>
              <w:spacing w:before="40" w:after="40" w:line="252" w:lineRule="auto"/>
              <w:jc w:val="left"/>
            </w:pPr>
            <w:r>
              <w:rPr>
                <w:rFonts w:ascii="Times New Roman" w:hAnsi="Times New Roman"/>
                <w:sz w:val="18"/>
              </w:rPr>
              <w:t>0.0000</w:t>
            </w:r>
          </w:p>
        </w:tc>
        <w:tc>
          <w:tcPr>
            <w:tcW w:type="dxa" w:w="1440"/>
            <w:shd w:fill="FAFAFA"/>
          </w:tcPr>
          <w:p>
            <w:pPr>
              <w:spacing w:before="40" w:after="40" w:line="252" w:lineRule="auto"/>
              <w:jc w:val="left"/>
            </w:pPr>
            <w:r>
              <w:rPr>
                <w:rFonts w:ascii="Times New Roman" w:hAnsi="Times New Roman"/>
                <w:sz w:val="18"/>
              </w:rPr>
              <w:t>-1,034.1</w:t>
            </w:r>
          </w:p>
        </w:tc>
        <w:tc>
          <w:tcPr>
            <w:tcW w:type="dxa" w:w="1440"/>
            <w:shd w:fill="FAFAFA"/>
          </w:tcPr>
          <w:p>
            <w:pPr>
              <w:spacing w:before="40" w:after="40" w:line="252" w:lineRule="auto"/>
              <w:jc w:val="left"/>
            </w:pPr>
            <w:r>
              <w:rPr>
                <w:rFonts w:ascii="Times New Roman" w:hAnsi="Times New Roman"/>
                <w:sz w:val="18"/>
              </w:rPr>
              <w:t>-518.7</w:t>
            </w:r>
          </w:p>
        </w:tc>
        <w:tc>
          <w:tcPr>
            <w:tcW w:type="dxa" w:w="1584"/>
            <w:shd w:fill="FAFAFA"/>
          </w:tcPr>
          <w:p>
            <w:pPr>
              <w:spacing w:before="40" w:after="40" w:line="252" w:lineRule="auto"/>
              <w:jc w:val="left"/>
            </w:pPr>
            <w:r>
              <w:rPr>
                <w:rFonts w:ascii="Times New Roman" w:hAnsi="Times New Roman"/>
                <w:sz w:val="18"/>
              </w:rPr>
              <w:t>Yes (Significant)</w:t>
            </w:r>
          </w:p>
        </w:tc>
      </w:tr>
      <w:tr>
        <w:tc>
          <w:tcPr>
            <w:tcW w:type="dxa" w:w="1584"/>
          </w:tcPr>
          <w:p>
            <w:pPr>
              <w:spacing w:before="40" w:after="40" w:line="252" w:lineRule="auto"/>
              <w:jc w:val="left"/>
            </w:pPr>
            <w:r>
              <w:rPr>
                <w:rFonts w:ascii="Times New Roman" w:hAnsi="Times New Roman"/>
                <w:sz w:val="18"/>
              </w:rPr>
              <w:t>Natural Gas</w:t>
            </w:r>
          </w:p>
        </w:tc>
        <w:tc>
          <w:tcPr>
            <w:tcW w:type="dxa" w:w="1584"/>
          </w:tcPr>
          <w:p>
            <w:pPr>
              <w:spacing w:before="40" w:after="40" w:line="252" w:lineRule="auto"/>
              <w:jc w:val="left"/>
            </w:pPr>
            <w:r>
              <w:rPr>
                <w:rFonts w:ascii="Times New Roman" w:hAnsi="Times New Roman"/>
                <w:sz w:val="18"/>
              </w:rPr>
              <w:t>Other/Unknown</w:t>
            </w:r>
          </w:p>
        </w:tc>
        <w:tc>
          <w:tcPr>
            <w:tcW w:type="dxa" w:w="1440"/>
          </w:tcPr>
          <w:p>
            <w:pPr>
              <w:spacing w:before="40" w:after="40" w:line="252" w:lineRule="auto"/>
              <w:jc w:val="left"/>
            </w:pPr>
            <w:r>
              <w:rPr>
                <w:rFonts w:ascii="Times New Roman" w:hAnsi="Times New Roman"/>
                <w:sz w:val="18"/>
              </w:rPr>
              <w:t>-273.8</w:t>
            </w:r>
          </w:p>
        </w:tc>
        <w:tc>
          <w:tcPr>
            <w:tcW w:type="dxa" w:w="1008"/>
          </w:tcPr>
          <w:p>
            <w:pPr>
              <w:spacing w:before="40" w:after="40" w:line="252" w:lineRule="auto"/>
              <w:jc w:val="left"/>
            </w:pPr>
            <w:r>
              <w:rPr>
                <w:rFonts w:ascii="Times New Roman" w:hAnsi="Times New Roman"/>
                <w:sz w:val="18"/>
              </w:rPr>
              <w:t>0.7895</w:t>
            </w:r>
          </w:p>
        </w:tc>
        <w:tc>
          <w:tcPr>
            <w:tcW w:type="dxa" w:w="1440"/>
          </w:tcPr>
          <w:p>
            <w:pPr>
              <w:spacing w:before="40" w:after="40" w:line="252" w:lineRule="auto"/>
              <w:jc w:val="left"/>
            </w:pPr>
            <w:r>
              <w:rPr>
                <w:rFonts w:ascii="Times New Roman" w:hAnsi="Times New Roman"/>
                <w:sz w:val="18"/>
              </w:rPr>
              <w:t>-933.6</w:t>
            </w:r>
          </w:p>
        </w:tc>
        <w:tc>
          <w:tcPr>
            <w:tcW w:type="dxa" w:w="1440"/>
          </w:tcPr>
          <w:p>
            <w:pPr>
              <w:spacing w:before="40" w:after="40" w:line="252" w:lineRule="auto"/>
              <w:jc w:val="left"/>
            </w:pPr>
            <w:r>
              <w:rPr>
                <w:rFonts w:ascii="Times New Roman" w:hAnsi="Times New Roman"/>
                <w:sz w:val="18"/>
              </w:rPr>
              <w:t>386.1</w:t>
            </w:r>
          </w:p>
        </w:tc>
        <w:tc>
          <w:tcPr>
            <w:tcW w:type="dxa" w:w="1584"/>
          </w:tcPr>
          <w:p>
            <w:pPr>
              <w:spacing w:before="40" w:after="40" w:line="252" w:lineRule="auto"/>
              <w:jc w:val="left"/>
            </w:pPr>
            <w:r>
              <w:rPr>
                <w:rFonts w:ascii="Times New Roman" w:hAnsi="Times New Roman"/>
                <w:sz w:val="18"/>
              </w:rPr>
              <w:t>No (Not Significant)</w:t>
            </w:r>
          </w:p>
        </w:tc>
      </w:tr>
      <w:tr>
        <w:tc>
          <w:tcPr>
            <w:tcW w:type="dxa" w:w="1584"/>
            <w:shd w:fill="FAFAFA"/>
          </w:tcPr>
          <w:p>
            <w:pPr>
              <w:spacing w:before="40" w:after="40" w:line="252" w:lineRule="auto"/>
              <w:jc w:val="left"/>
            </w:pPr>
            <w:r>
              <w:rPr>
                <w:rFonts w:ascii="Times New Roman" w:hAnsi="Times New Roman"/>
                <w:sz w:val="18"/>
              </w:rPr>
              <w:t>Oil / Diesel</w:t>
            </w:r>
          </w:p>
        </w:tc>
        <w:tc>
          <w:tcPr>
            <w:tcW w:type="dxa" w:w="1584"/>
            <w:shd w:fill="FAFAFA"/>
          </w:tcPr>
          <w:p>
            <w:pPr>
              <w:spacing w:before="40" w:after="40" w:line="252" w:lineRule="auto"/>
              <w:jc w:val="left"/>
            </w:pPr>
            <w:r>
              <w:rPr>
                <w:rFonts w:ascii="Times New Roman" w:hAnsi="Times New Roman"/>
                <w:sz w:val="18"/>
              </w:rPr>
              <w:t>Other/Unknown</w:t>
            </w:r>
          </w:p>
        </w:tc>
        <w:tc>
          <w:tcPr>
            <w:tcW w:type="dxa" w:w="1440"/>
            <w:shd w:fill="FAFAFA"/>
          </w:tcPr>
          <w:p>
            <w:pPr>
              <w:spacing w:before="40" w:after="40" w:line="252" w:lineRule="auto"/>
              <w:jc w:val="left"/>
            </w:pPr>
            <w:r>
              <w:rPr>
                <w:rFonts w:ascii="Times New Roman" w:hAnsi="Times New Roman"/>
                <w:sz w:val="18"/>
              </w:rPr>
              <w:t>502.6</w:t>
            </w:r>
          </w:p>
        </w:tc>
        <w:tc>
          <w:tcPr>
            <w:tcW w:type="dxa" w:w="1008"/>
            <w:shd w:fill="FAFAFA"/>
          </w:tcPr>
          <w:p>
            <w:pPr>
              <w:spacing w:before="40" w:after="40" w:line="252" w:lineRule="auto"/>
              <w:jc w:val="left"/>
            </w:pPr>
            <w:r>
              <w:rPr>
                <w:rFonts w:ascii="Times New Roman" w:hAnsi="Times New Roman"/>
                <w:sz w:val="18"/>
              </w:rPr>
              <w:t>0.2864</w:t>
            </w:r>
          </w:p>
        </w:tc>
        <w:tc>
          <w:tcPr>
            <w:tcW w:type="dxa" w:w="1440"/>
            <w:shd w:fill="FAFAFA"/>
          </w:tcPr>
          <w:p>
            <w:pPr>
              <w:spacing w:before="40" w:after="40" w:line="252" w:lineRule="auto"/>
              <w:jc w:val="left"/>
            </w:pPr>
            <w:r>
              <w:rPr>
                <w:rFonts w:ascii="Times New Roman" w:hAnsi="Times New Roman"/>
                <w:sz w:val="18"/>
              </w:rPr>
              <w:t>-197.5</w:t>
            </w:r>
          </w:p>
        </w:tc>
        <w:tc>
          <w:tcPr>
            <w:tcW w:type="dxa" w:w="1440"/>
            <w:shd w:fill="FAFAFA"/>
          </w:tcPr>
          <w:p>
            <w:pPr>
              <w:spacing w:before="40" w:after="40" w:line="252" w:lineRule="auto"/>
              <w:jc w:val="left"/>
            </w:pPr>
            <w:r>
              <w:rPr>
                <w:rFonts w:ascii="Times New Roman" w:hAnsi="Times New Roman"/>
                <w:sz w:val="18"/>
              </w:rPr>
              <w:t>1,202.7</w:t>
            </w:r>
          </w:p>
        </w:tc>
        <w:tc>
          <w:tcPr>
            <w:tcW w:type="dxa" w:w="1584"/>
            <w:shd w:fill="FAFAFA"/>
          </w:tcPr>
          <w:p>
            <w:pPr>
              <w:spacing w:before="40" w:after="40" w:line="252" w:lineRule="auto"/>
              <w:jc w:val="left"/>
            </w:pPr>
            <w:r>
              <w:rPr>
                <w:rFonts w:ascii="Times New Roman" w:hAnsi="Times New Roman"/>
                <w:sz w:val="18"/>
              </w:rPr>
              <w:t>No (Not Significant)</w:t>
            </w:r>
          </w:p>
        </w:tc>
      </w:tr>
    </w:tbl>
    <w:p>
      <w:pPr>
        <w:spacing w:before="60" w:after="240"/>
      </w:pPr>
      <w:r>
        <w:rPr>
          <w:rFonts w:ascii="Times New Roman" w:hAnsi="Times New Roman"/>
          <w:i/>
          <w:sz w:val="18"/>
        </w:rPr>
        <w:t xml:space="preserve">Note. </w:t>
      </w:r>
      <w:r>
        <w:rPr>
          <w:rFonts w:ascii="Times New Roman" w:hAnsi="Times New Roman"/>
          <w:sz w:val="18"/>
        </w:rPr>
        <w:t>Tukey Honestly Significant Difference (HSD) family-wise error-controlled contrasts across N = 4,050 units.</w:t>
      </w:r>
    </w:p>
    <w:p>
      <w:pPr>
        <w:keepNext/>
        <w:spacing w:before="240" w:after="120"/>
        <w:jc w:val="left"/>
      </w:pPr>
      <w:r>
        <w:rPr>
          <w:rFonts w:ascii="Times New Roman" w:hAnsi="Times New Roman"/>
          <w:b/>
          <w:color w:val="19375F"/>
          <w:sz w:val="24"/>
        </w:rPr>
        <w:t>Appendix D: Principal Component Analysis (PCA) Eigenvectors and Loadings (RQ4)</w:t>
      </w:r>
    </w:p>
    <w:p>
      <w:pPr>
        <w:spacing w:after="120" w:line="276" w:lineRule="auto"/>
        <w:jc w:val="left"/>
      </w:pPr>
      <w:r>
        <w:rPr>
          <w:rFonts w:ascii="Times New Roman" w:hAnsi="Times New Roman"/>
          <w:i w:val="0"/>
          <w:sz w:val="22"/>
        </w:rPr>
        <w:t>As referenced in Section 5 (Results by Research Question — RQ4), Table D1 reports the orthogonal eigenvector loadings for PC1 (44.88% variance explained) and PC2 (35.31% variance explained), which together account for 80.19% of total fleet variance.</w:t>
      </w:r>
    </w:p>
    <w:p>
      <w:pPr>
        <w:keepNext/>
        <w:spacing w:before="240" w:after="40"/>
      </w:pPr>
      <w:r>
        <w:rPr>
          <w:rFonts w:ascii="Times New Roman" w:hAnsi="Times New Roman"/>
          <w:b/>
          <w:sz w:val="22"/>
        </w:rPr>
        <w:t>Table D1</w:t>
      </w:r>
    </w:p>
    <w:p>
      <w:pPr>
        <w:keepNext/>
        <w:spacing w:before="0" w:after="120"/>
      </w:pPr>
      <w:r>
        <w:rPr>
          <w:rFonts w:ascii="Times New Roman" w:hAnsi="Times New Roman"/>
          <w:i/>
          <w:sz w:val="22"/>
        </w:rPr>
        <w:t>Principal Component Analysis (PCA) Feature Loadings and Dimensional Interpretations</w:t>
      </w:r>
    </w:p>
    <w:tbl>
      <w:tblPr>
        <w:tblW w:type="auto" w:w="0"/>
        <w:tblLook w:firstColumn="1" w:firstRow="1" w:lastColumn="0" w:lastRow="0" w:noHBand="0" w:noVBand="1" w:val="04A0"/>
        <w:jc w:val="center"/>
        <w:tblBorders>
          <w:top w:val="single" w:sz="12" w:space="0" w:color="000000"/>
          <w:bottom w:val="single" w:sz="12" w:space="0" w:color="000000"/>
          <w:insideH w:val="single" w:sz="4" w:space="0" w:color="E5E5E5"/>
          <w:insideV w:val="none"/>
          <w:left w:val="none"/>
          <w:right w:val="none"/>
        </w:tblBorders>
      </w:tblPr>
      <w:tblGrid>
        <w:gridCol w:w="2340"/>
        <w:gridCol w:w="2340"/>
        <w:gridCol w:w="2340"/>
        <w:gridCol w:w="2340"/>
      </w:tblGrid>
      <w:tr>
        <w:trPr>
          <w:tblHeader/>
        </w:trPr>
        <w:tc>
          <w:tcPr>
            <w:tcW w:type="dxa" w:w="2592"/>
            <w:tcBorders>
              <w:bottom w:val="single" w:sz="12" w:space="0" w:color="000000"/>
            </w:tcBorders>
            <w:shd w:fill="F4F6F8"/>
          </w:tcPr>
          <w:p>
            <w:pPr>
              <w:spacing w:before="60" w:after="60" w:line="240" w:lineRule="auto"/>
              <w:jc w:val="center"/>
            </w:pPr>
            <w:r>
              <w:rPr>
                <w:rFonts w:ascii="Times New Roman" w:hAnsi="Times New Roman"/>
                <w:b/>
                <w:sz w:val="19"/>
              </w:rPr>
              <w:t>Standardized Feature</w:t>
            </w:r>
          </w:p>
        </w:tc>
        <w:tc>
          <w:tcPr>
            <w:tcW w:type="dxa" w:w="1440"/>
            <w:tcBorders>
              <w:bottom w:val="single" w:sz="12" w:space="0" w:color="000000"/>
            </w:tcBorders>
            <w:shd w:fill="F4F6F8"/>
          </w:tcPr>
          <w:p>
            <w:pPr>
              <w:spacing w:before="60" w:after="60" w:line="240" w:lineRule="auto"/>
              <w:jc w:val="center"/>
            </w:pPr>
            <w:r>
              <w:rPr>
                <w:rFonts w:ascii="Times New Roman" w:hAnsi="Times New Roman"/>
                <w:b/>
                <w:sz w:val="19"/>
              </w:rPr>
              <w:t>PC1 Loading</w:t>
            </w:r>
          </w:p>
        </w:tc>
        <w:tc>
          <w:tcPr>
            <w:tcW w:type="dxa" w:w="1440"/>
            <w:tcBorders>
              <w:bottom w:val="single" w:sz="12" w:space="0" w:color="000000"/>
            </w:tcBorders>
            <w:shd w:fill="F4F6F8"/>
          </w:tcPr>
          <w:p>
            <w:pPr>
              <w:spacing w:before="60" w:after="60" w:line="240" w:lineRule="auto"/>
              <w:jc w:val="center"/>
            </w:pPr>
            <w:r>
              <w:rPr>
                <w:rFonts w:ascii="Times New Roman" w:hAnsi="Times New Roman"/>
                <w:b/>
                <w:sz w:val="19"/>
              </w:rPr>
              <w:t>PC2 Loading</w:t>
            </w:r>
          </w:p>
        </w:tc>
        <w:tc>
          <w:tcPr>
            <w:tcW w:type="dxa" w:w="3888"/>
            <w:tcBorders>
              <w:bottom w:val="single" w:sz="12" w:space="0" w:color="000000"/>
            </w:tcBorders>
            <w:shd w:fill="F4F6F8"/>
          </w:tcPr>
          <w:p>
            <w:pPr>
              <w:spacing w:before="60" w:after="60" w:line="240" w:lineRule="auto"/>
              <w:jc w:val="center"/>
            </w:pPr>
            <w:r>
              <w:rPr>
                <w:rFonts w:ascii="Times New Roman" w:hAnsi="Times New Roman"/>
                <w:b/>
                <w:sz w:val="19"/>
              </w:rPr>
              <w:t>Orthogonal Dimensional Interpretation</w:t>
            </w:r>
          </w:p>
        </w:tc>
      </w:tr>
      <w:tr>
        <w:tc>
          <w:tcPr>
            <w:tcW w:type="dxa" w:w="2592"/>
          </w:tcPr>
          <w:p>
            <w:pPr>
              <w:spacing w:before="40" w:after="40" w:line="252" w:lineRule="auto"/>
              <w:jc w:val="left"/>
            </w:pPr>
            <w:r>
              <w:rPr>
                <w:rFonts w:ascii="Times New Roman" w:hAnsi="Times New Roman"/>
                <w:sz w:val="18"/>
              </w:rPr>
              <w:t>Log_Capacity (Nameplate MWe)</w:t>
            </w:r>
          </w:p>
        </w:tc>
        <w:tc>
          <w:tcPr>
            <w:tcW w:type="dxa" w:w="1440"/>
          </w:tcPr>
          <w:p>
            <w:pPr>
              <w:spacing w:before="40" w:after="40" w:line="252" w:lineRule="auto"/>
              <w:jc w:val="left"/>
            </w:pPr>
            <w:r>
              <w:rPr>
                <w:rFonts w:ascii="Times New Roman" w:hAnsi="Times New Roman"/>
                <w:sz w:val="18"/>
              </w:rPr>
              <w:t>0.6123</w:t>
            </w:r>
          </w:p>
        </w:tc>
        <w:tc>
          <w:tcPr>
            <w:tcW w:type="dxa" w:w="1440"/>
          </w:tcPr>
          <w:p>
            <w:pPr>
              <w:spacing w:before="40" w:after="40" w:line="252" w:lineRule="auto"/>
              <w:jc w:val="left"/>
            </w:pPr>
            <w:r>
              <w:rPr>
                <w:rFonts w:ascii="Times New Roman" w:hAnsi="Times New Roman"/>
                <w:sz w:val="18"/>
              </w:rPr>
              <w:t>-0.1366</w:t>
            </w:r>
          </w:p>
        </w:tc>
        <w:tc>
          <w:tcPr>
            <w:tcW w:type="dxa" w:w="3888"/>
          </w:tcPr>
          <w:p>
            <w:pPr>
              <w:spacing w:before="40" w:after="40" w:line="252" w:lineRule="auto"/>
              <w:jc w:val="left"/>
            </w:pPr>
            <w:r>
              <w:rPr>
                <w:rFonts w:ascii="Times New Roman" w:hAnsi="Times New Roman"/>
                <w:sz w:val="18"/>
              </w:rPr>
              <w:t>Primary positive loading on PC1; represents physical electrical generation scale.</w:t>
            </w:r>
          </w:p>
        </w:tc>
      </w:tr>
      <w:tr>
        <w:tc>
          <w:tcPr>
            <w:tcW w:type="dxa" w:w="2592"/>
            <w:shd w:fill="FAFAFA"/>
          </w:tcPr>
          <w:p>
            <w:pPr>
              <w:spacing w:before="40" w:after="40" w:line="252" w:lineRule="auto"/>
              <w:jc w:val="left"/>
            </w:pPr>
            <w:r>
              <w:rPr>
                <w:rFonts w:ascii="Times New Roman" w:hAnsi="Times New Roman"/>
                <w:sz w:val="18"/>
              </w:rPr>
              <w:t>Log_Heat_Input (mmBtu/hr)</w:t>
            </w:r>
          </w:p>
        </w:tc>
        <w:tc>
          <w:tcPr>
            <w:tcW w:type="dxa" w:w="1440"/>
            <w:shd w:fill="FAFAFA"/>
          </w:tcPr>
          <w:p>
            <w:pPr>
              <w:spacing w:before="40" w:after="40" w:line="252" w:lineRule="auto"/>
              <w:jc w:val="left"/>
            </w:pPr>
            <w:r>
              <w:rPr>
                <w:rFonts w:ascii="Times New Roman" w:hAnsi="Times New Roman"/>
                <w:sz w:val="18"/>
              </w:rPr>
              <w:t>0.6354</w:t>
            </w:r>
          </w:p>
        </w:tc>
        <w:tc>
          <w:tcPr>
            <w:tcW w:type="dxa" w:w="1440"/>
            <w:shd w:fill="FAFAFA"/>
          </w:tcPr>
          <w:p>
            <w:pPr>
              <w:spacing w:before="40" w:after="40" w:line="252" w:lineRule="auto"/>
              <w:jc w:val="left"/>
            </w:pPr>
            <w:r>
              <w:rPr>
                <w:rFonts w:ascii="Times New Roman" w:hAnsi="Times New Roman"/>
                <w:sz w:val="18"/>
              </w:rPr>
              <w:t>0.0177</w:t>
            </w:r>
          </w:p>
        </w:tc>
        <w:tc>
          <w:tcPr>
            <w:tcW w:type="dxa" w:w="3888"/>
            <w:shd w:fill="FAFAFA"/>
          </w:tcPr>
          <w:p>
            <w:pPr>
              <w:spacing w:before="40" w:after="40" w:line="252" w:lineRule="auto"/>
              <w:jc w:val="left"/>
            </w:pPr>
            <w:r>
              <w:rPr>
                <w:rFonts w:ascii="Times New Roman" w:hAnsi="Times New Roman"/>
                <w:sz w:val="18"/>
              </w:rPr>
              <w:t>Primary positive loading on PC1; represents hourly thermal combustion load.</w:t>
            </w:r>
          </w:p>
        </w:tc>
      </w:tr>
      <w:tr>
        <w:tc>
          <w:tcPr>
            <w:tcW w:type="dxa" w:w="2592"/>
          </w:tcPr>
          <w:p>
            <w:pPr>
              <w:spacing w:before="40" w:after="40" w:line="252" w:lineRule="auto"/>
              <w:jc w:val="left"/>
            </w:pPr>
            <w:r>
              <w:rPr>
                <w:rFonts w:ascii="Times New Roman" w:hAnsi="Times New Roman"/>
                <w:sz w:val="18"/>
              </w:rPr>
              <w:t>Unit_Age (Operating Vintage)</w:t>
            </w:r>
          </w:p>
        </w:tc>
        <w:tc>
          <w:tcPr>
            <w:tcW w:type="dxa" w:w="1440"/>
          </w:tcPr>
          <w:p>
            <w:pPr>
              <w:spacing w:before="40" w:after="40" w:line="252" w:lineRule="auto"/>
              <w:jc w:val="left"/>
            </w:pPr>
            <w:r>
              <w:rPr>
                <w:rFonts w:ascii="Times New Roman" w:hAnsi="Times New Roman"/>
                <w:sz w:val="18"/>
              </w:rPr>
              <w:t>-0.0219</w:t>
            </w:r>
          </w:p>
        </w:tc>
        <w:tc>
          <w:tcPr>
            <w:tcW w:type="dxa" w:w="1440"/>
          </w:tcPr>
          <w:p>
            <w:pPr>
              <w:spacing w:before="40" w:after="40" w:line="252" w:lineRule="auto"/>
              <w:jc w:val="left"/>
            </w:pPr>
            <w:r>
              <w:rPr>
                <w:rFonts w:ascii="Times New Roman" w:hAnsi="Times New Roman"/>
                <w:sz w:val="18"/>
              </w:rPr>
              <w:t>0.9702</w:t>
            </w:r>
          </w:p>
        </w:tc>
        <w:tc>
          <w:tcPr>
            <w:tcW w:type="dxa" w:w="3888"/>
          </w:tcPr>
          <w:p>
            <w:pPr>
              <w:spacing w:before="40" w:after="40" w:line="252" w:lineRule="auto"/>
              <w:jc w:val="left"/>
            </w:pPr>
            <w:r>
              <w:rPr>
                <w:rFonts w:ascii="Times New Roman" w:hAnsi="Times New Roman"/>
                <w:sz w:val="18"/>
              </w:rPr>
              <w:t>Dominant positive loading on PC2; separates legacy boilers from modern turbines.</w:t>
            </w:r>
          </w:p>
        </w:tc>
      </w:tr>
      <w:tr>
        <w:tc>
          <w:tcPr>
            <w:tcW w:type="dxa" w:w="2592"/>
            <w:shd w:fill="FAFAFA"/>
          </w:tcPr>
          <w:p>
            <w:pPr>
              <w:spacing w:before="40" w:after="40" w:line="252" w:lineRule="auto"/>
              <w:jc w:val="left"/>
            </w:pPr>
            <w:r>
              <w:rPr>
                <w:rFonts w:ascii="Times New Roman" w:hAnsi="Times New Roman"/>
                <w:sz w:val="18"/>
              </w:rPr>
              <w:t>Control_Count (Abatement Systems)</w:t>
            </w:r>
          </w:p>
        </w:tc>
        <w:tc>
          <w:tcPr>
            <w:tcW w:type="dxa" w:w="1440"/>
            <w:shd w:fill="FAFAFA"/>
          </w:tcPr>
          <w:p>
            <w:pPr>
              <w:spacing w:before="40" w:after="40" w:line="252" w:lineRule="auto"/>
              <w:jc w:val="left"/>
            </w:pPr>
            <w:r>
              <w:rPr>
                <w:rFonts w:ascii="Times New Roman" w:hAnsi="Times New Roman"/>
                <w:sz w:val="18"/>
              </w:rPr>
              <w:t>0.4699</w:t>
            </w:r>
          </w:p>
        </w:tc>
        <w:tc>
          <w:tcPr>
            <w:tcW w:type="dxa" w:w="1440"/>
            <w:shd w:fill="FAFAFA"/>
          </w:tcPr>
          <w:p>
            <w:pPr>
              <w:spacing w:before="40" w:after="40" w:line="252" w:lineRule="auto"/>
              <w:jc w:val="left"/>
            </w:pPr>
            <w:r>
              <w:rPr>
                <w:rFonts w:ascii="Times New Roman" w:hAnsi="Times New Roman"/>
                <w:sz w:val="18"/>
              </w:rPr>
              <w:t>0.1992</w:t>
            </w:r>
          </w:p>
        </w:tc>
        <w:tc>
          <w:tcPr>
            <w:tcW w:type="dxa" w:w="3888"/>
            <w:shd w:fill="FAFAFA"/>
          </w:tcPr>
          <w:p>
            <w:pPr>
              <w:spacing w:before="40" w:after="40" w:line="252" w:lineRule="auto"/>
              <w:jc w:val="left"/>
            </w:pPr>
            <w:r>
              <w:rPr>
                <w:rFonts w:ascii="Times New Roman" w:hAnsi="Times New Roman"/>
                <w:sz w:val="18"/>
              </w:rPr>
              <w:t>Strong positive loading on PC2 (and moderate PC1); reflects multi-pollutant scrubber density.</w:t>
            </w:r>
          </w:p>
        </w:tc>
      </w:tr>
    </w:tbl>
    <w:p>
      <w:pPr>
        <w:spacing w:before="60" w:after="240"/>
      </w:pPr>
      <w:r>
        <w:rPr>
          <w:rFonts w:ascii="Times New Roman" w:hAnsi="Times New Roman"/>
          <w:i/>
          <w:sz w:val="18"/>
        </w:rPr>
        <w:t xml:space="preserve">Note. </w:t>
      </w:r>
      <w:r>
        <w:rPr>
          <w:rFonts w:ascii="Times New Roman" w:hAnsi="Times New Roman"/>
          <w:sz w:val="18"/>
        </w:rPr>
        <w:t>Principal component eigenvector weights derived from the correlation matrix of standardized clustering features (N = 4,050).</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C8C8C"/>
        <w:sz w:val="17"/>
      </w:rPr>
      <w:t>Walsh College | QM640 Data Analytics Capstone | Dhananjay Verma (ID: 0291493)</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787878"/>
        <w:sz w:val="17"/>
      </w:rPr>
      <w:t>FINAL REPORT: EPA CLEAN AIR MARKETS PROGRAM</w:t>
      <w:tab/>
    </w:r>
    <w:r>
      <w:rPr>
        <w:rFonts w:ascii="Times New Roman" w:hAnsi="Times New Roman"/>
        <w:color w:val="3C3C3C"/>
        <w:sz w:val="18"/>
      </w:rPr>
      <w:fldChar w:fldCharType="begin"/>
      <w:instrText xml:space="preserve"> PAGE </w:instrText>
      <w:fldChar w:fldCharType="separate"/>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