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URL: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 Data URL: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(10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Sample Size Justification &amp; Analytical Record Allocation across Models</w:t>
      </w:r>
    </w:p>
    <w:p>
      <w:pPr>
        <w:spacing w:after="120" w:line="276" w:lineRule="auto"/>
        <w:jc w:val="left"/>
      </w:pPr>
      <w:r>
        <w:rPr>
          <w:rFonts w:ascii="Times New Roman" w:hAnsi="Times New Roman"/>
          <w:i w:val="0"/>
          <w:sz w:val="22"/>
        </w:rPr>
        <w:t>A foundational methodological strength of this capstone research is that modeling and statistical inferences were conducted on the complete national fleet of 4,050 generating units across 1,328 unique facilities, representing 100% of regulated units in facility-2025.csv with zero records discarded. In accordance with the sampling methodology established in the capstone synopsis, statistical power calculations (Cohen, 1988; Cochran, 1977) confirm that the 4,050 records exceed the minimum sample size requirements for each analytical model by an order of magnitude.</w:t>
      </w:r>
    </w:p>
    <w:p>
      <w:pPr>
        <w:spacing w:after="120" w:line="276" w:lineRule="auto"/>
        <w:jc w:val="left"/>
      </w:pPr>
      <w:r>
        <w:rPr>
          <w:rFonts w:ascii="Times New Roman" w:hAnsi="Times New Roman"/>
          <w:i w:val="0"/>
          <w:sz w:val="22"/>
        </w:rPr>
        <w:t>For RQ1, group comparisons across fuel categories require a minimum of 30 observations per group (rule of thumb) and an aggregate sample of 159–180 units for medium effect size (f = 0.25, power = 80%, α = 0.05); the available 4,050 units exceed this threshold by over 22-fold. For RQ2, predictive classification guidelines dictate 10–20 observations per candidate predictor per class (minimum 120–240 units for 6–12 predictors); our stratified partitioning allocates 3,240 records (80%) to the training set with 5-fold cross-validation and preserves 810 records (20%) as a holdout test set (containing 204 actual high emitters and 606 low emitters), ensuring exceptional model stability and preventing data leakage. For RQ3, linear and multivariate regressions require 300–800 records for small-to-medium effect detection; all 4,050 units are utilized (degrees of freedom = 4,046). For RQ4, unsupervised clustering heuristics require at least 10× the feature count (≥ 300 units); K-Means is executed across the entire 4,050-unit fleet. Table 3 details the exact record allocation across all models.</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Analytical Model Record Allocation and Sample Size Justification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Research Question &amp; Scope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Model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Total Records</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Training Set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Needed (Power)</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728"/>
          </w:tcPr>
          <w:p>
            <w:pPr>
              <w:spacing w:before="40" w:after="40" w:line="252" w:lineRule="auto"/>
              <w:jc w:val="left"/>
            </w:pPr>
            <w:r>
              <w:rPr>
                <w:rFonts w:ascii="Times New Roman" w:hAnsi="Times New Roman"/>
                <w:sz w:val="18"/>
              </w:rPr>
              <w:t>RQ1: Emission &amp; Heat Input Variability across Fuel Types</w:t>
            </w:r>
          </w:p>
        </w:tc>
        <w:tc>
          <w:tcPr>
            <w:tcW w:type="dxa" w:w="1584"/>
          </w:tcPr>
          <w:p>
            <w:pPr>
              <w:spacing w:before="40" w:after="40" w:line="252" w:lineRule="auto"/>
              <w:jc w:val="left"/>
            </w:pPr>
            <w:r>
              <w:rPr>
                <w:rFonts w:ascii="Times New Roman" w:hAnsi="Times New Roman"/>
                <w:sz w:val="18"/>
              </w:rPr>
              <w:t>One-Way ANOVA &amp; Kruskal-Wallis Test</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(Omnibus inference)</w:t>
            </w:r>
          </w:p>
        </w:tc>
        <w:tc>
          <w:tcPr>
            <w:tcW w:type="dxa" w:w="1440"/>
          </w:tcPr>
          <w:p>
            <w:pPr>
              <w:spacing w:before="40" w:after="40" w:line="252" w:lineRule="auto"/>
              <w:jc w:val="left"/>
            </w:pPr>
            <w:r>
              <w:rPr>
                <w:rFonts w:ascii="Times New Roman" w:hAnsi="Times New Roman"/>
                <w:sz w:val="18"/>
              </w:rPr>
              <w:t>159–180 units (f = 0.25, power = 80%)</w:t>
            </w:r>
          </w:p>
        </w:tc>
        <w:tc>
          <w:tcPr>
            <w:tcW w:type="dxa" w:w="1584"/>
          </w:tcPr>
          <w:p>
            <w:pPr>
              <w:spacing w:before="40" w:after="40" w:line="252" w:lineRule="auto"/>
              <w:jc w:val="left"/>
            </w:pPr>
            <w:r>
              <w:rPr>
                <w:rFonts w:ascii="Times New Roman" w:hAnsi="Times New Roman"/>
                <w:sz w:val="18"/>
              </w:rPr>
              <w:t>Exceeds minimum by &gt;22×; highly robust to non-normality.</w:t>
            </w:r>
          </w:p>
        </w:tc>
      </w:tr>
      <w:tr>
        <w:tc>
          <w:tcPr>
            <w:tcW w:type="dxa" w:w="1728"/>
            <w:shd w:fill="FAFAFA"/>
          </w:tcPr>
          <w:p>
            <w:pPr>
              <w:spacing w:before="40" w:after="40" w:line="252" w:lineRule="auto"/>
              <w:jc w:val="left"/>
            </w:pPr>
            <w:r>
              <w:rPr>
                <w:rFonts w:ascii="Times New Roman" w:hAnsi="Times New Roman"/>
                <w:sz w:val="18"/>
              </w:rPr>
              <w:t>RQ2: Predictive Classification of High-Emission Units</w:t>
            </w:r>
          </w:p>
        </w:tc>
        <w:tc>
          <w:tcPr>
            <w:tcW w:type="dxa" w:w="1584"/>
            <w:shd w:fill="FAFAFA"/>
          </w:tcPr>
          <w:p>
            <w:pPr>
              <w:spacing w:before="40" w:after="40" w:line="252" w:lineRule="auto"/>
              <w:jc w:val="left"/>
            </w:pPr>
            <w:r>
              <w:rPr>
                <w:rFonts w:ascii="Times New Roman" w:hAnsi="Times New Roman"/>
                <w:sz w:val="18"/>
              </w:rPr>
              <w:t>Random Forest, Gradient Boosting, Logistic Regression</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3,240 records (80% stratified)</w:t>
            </w:r>
          </w:p>
        </w:tc>
        <w:tc>
          <w:tcPr>
            <w:tcW w:type="dxa" w:w="1584"/>
            <w:shd w:fill="FAFAFA"/>
          </w:tcPr>
          <w:p>
            <w:pPr>
              <w:spacing w:before="40" w:after="40" w:line="252" w:lineRule="auto"/>
              <w:jc w:val="left"/>
            </w:pPr>
            <w:r>
              <w:rPr>
                <w:rFonts w:ascii="Times New Roman" w:hAnsi="Times New Roman"/>
                <w:sz w:val="18"/>
              </w:rPr>
              <w:t>810 records (20% holdout: 204 High / 606 Low)</w:t>
            </w:r>
          </w:p>
        </w:tc>
        <w:tc>
          <w:tcPr>
            <w:tcW w:type="dxa" w:w="1440"/>
            <w:shd w:fill="FAFAFA"/>
          </w:tcPr>
          <w:p>
            <w:pPr>
              <w:spacing w:before="40" w:after="40" w:line="252" w:lineRule="auto"/>
              <w:jc w:val="left"/>
            </w:pPr>
            <w:r>
              <w:rPr>
                <w:rFonts w:ascii="Times New Roman" w:hAnsi="Times New Roman"/>
                <w:sz w:val="18"/>
              </w:rPr>
              <w:t>120–240 units (10–20 per predictor/class)</w:t>
            </w:r>
          </w:p>
        </w:tc>
        <w:tc>
          <w:tcPr>
            <w:tcW w:type="dxa" w:w="1584"/>
            <w:shd w:fill="FAFAFA"/>
          </w:tcPr>
          <w:p>
            <w:pPr>
              <w:spacing w:before="40" w:after="40" w:line="252" w:lineRule="auto"/>
              <w:jc w:val="left"/>
            </w:pPr>
            <w:r>
              <w:rPr>
                <w:rFonts w:ascii="Times New Roman" w:hAnsi="Times New Roman"/>
                <w:sz w:val="18"/>
              </w:rPr>
              <w:t>Exceeds minimum by &gt;13×; 5-fold CV ensures generalizability without leakage.</w:t>
            </w:r>
          </w:p>
        </w:tc>
      </w:tr>
      <w:tr>
        <w:tc>
          <w:tcPr>
            <w:tcW w:type="dxa" w:w="1728"/>
          </w:tcPr>
          <w:p>
            <w:pPr>
              <w:spacing w:before="40" w:after="40" w:line="252" w:lineRule="auto"/>
              <w:jc w:val="left"/>
            </w:pPr>
            <w:r>
              <w:rPr>
                <w:rFonts w:ascii="Times New Roman" w:hAnsi="Times New Roman"/>
                <w:sz w:val="18"/>
              </w:rPr>
              <w:t>RQ3: Unit Age and Operational Thermal Intensity</w:t>
            </w:r>
          </w:p>
        </w:tc>
        <w:tc>
          <w:tcPr>
            <w:tcW w:type="dxa" w:w="1584"/>
          </w:tcPr>
          <w:p>
            <w:pPr>
              <w:spacing w:before="40" w:after="40" w:line="252" w:lineRule="auto"/>
              <w:jc w:val="left"/>
            </w:pPr>
            <w:r>
              <w:rPr>
                <w:rFonts w:ascii="Times New Roman" w:hAnsi="Times New Roman"/>
                <w:sz w:val="18"/>
              </w:rPr>
              <w:t>Bivariate &amp; Multivariate OLS Regressions</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(df = 4,046; residual diagnostics)</w:t>
            </w:r>
          </w:p>
        </w:tc>
        <w:tc>
          <w:tcPr>
            <w:tcW w:type="dxa" w:w="1440"/>
          </w:tcPr>
          <w:p>
            <w:pPr>
              <w:spacing w:before="40" w:after="40" w:line="252" w:lineRule="auto"/>
              <w:jc w:val="left"/>
            </w:pPr>
            <w:r>
              <w:rPr>
                <w:rFonts w:ascii="Times New Roman" w:hAnsi="Times New Roman"/>
                <w:sz w:val="18"/>
              </w:rPr>
              <w:t>300–800 units (Small-medium effect, r ≈ 0.1-0.3)</w:t>
            </w:r>
          </w:p>
        </w:tc>
        <w:tc>
          <w:tcPr>
            <w:tcW w:type="dxa" w:w="1584"/>
          </w:tcPr>
          <w:p>
            <w:pPr>
              <w:spacing w:before="40" w:after="40" w:line="252" w:lineRule="auto"/>
              <w:jc w:val="left"/>
            </w:pPr>
            <w:r>
              <w:rPr>
                <w:rFonts w:ascii="Times New Roman" w:hAnsi="Times New Roman"/>
                <w:sz w:val="18"/>
              </w:rPr>
              <w:t>Exceeds minimum by &gt;5×; highly stable parameter standard errors.</w:t>
            </w:r>
          </w:p>
        </w:tc>
      </w:tr>
      <w:tr>
        <w:tc>
          <w:tcPr>
            <w:tcW w:type="dxa" w:w="1728"/>
            <w:shd w:fill="FAFAFA"/>
          </w:tcPr>
          <w:p>
            <w:pPr>
              <w:spacing w:before="40" w:after="40" w:line="252" w:lineRule="auto"/>
              <w:jc w:val="left"/>
            </w:pPr>
            <w:r>
              <w:rPr>
                <w:rFonts w:ascii="Times New Roman" w:hAnsi="Times New Roman"/>
                <w:sz w:val="18"/>
              </w:rPr>
              <w:t>RQ4: Unsupervised Fleet Segmentation &amp; Archetype Profiling</w:t>
            </w:r>
          </w:p>
        </w:tc>
        <w:tc>
          <w:tcPr>
            <w:tcW w:type="dxa" w:w="1584"/>
            <w:shd w:fill="FAFAFA"/>
          </w:tcPr>
          <w:p>
            <w:pPr>
              <w:spacing w:before="40" w:after="40" w:line="252" w:lineRule="auto"/>
              <w:jc w:val="left"/>
            </w:pPr>
            <w:r>
              <w:rPr>
                <w:rFonts w:ascii="Times New Roman" w:hAnsi="Times New Roman"/>
                <w:sz w:val="18"/>
              </w:rPr>
              <w:t>K-Means Clustering &amp; 2D Principal Component Analysis</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4,050 records (Full population)</w:t>
            </w:r>
          </w:p>
        </w:tc>
        <w:tc>
          <w:tcPr>
            <w:tcW w:type="dxa" w:w="1584"/>
            <w:shd w:fill="FAFAFA"/>
          </w:tcPr>
          <w:p>
            <w:pPr>
              <w:spacing w:before="40" w:after="40" w:line="252" w:lineRule="auto"/>
              <w:jc w:val="left"/>
            </w:pPr>
            <w:r>
              <w:rPr>
                <w:rFonts w:ascii="Times New Roman" w:hAnsi="Times New Roman"/>
                <w:sz w:val="18"/>
              </w:rPr>
              <w:t>N/A (Fleet-wide centroid optimization)</w:t>
            </w:r>
          </w:p>
        </w:tc>
        <w:tc>
          <w:tcPr>
            <w:tcW w:type="dxa" w:w="1440"/>
            <w:shd w:fill="FAFAFA"/>
          </w:tcPr>
          <w:p>
            <w:pPr>
              <w:spacing w:before="40" w:after="40" w:line="252" w:lineRule="auto"/>
              <w:jc w:val="left"/>
            </w:pPr>
            <w:r>
              <w:rPr>
                <w:rFonts w:ascii="Times New Roman" w:hAnsi="Times New Roman"/>
                <w:sz w:val="18"/>
              </w:rPr>
              <w:t>≥ 300 units (≥ 10× feature count rule)</w:t>
            </w:r>
          </w:p>
        </w:tc>
        <w:tc>
          <w:tcPr>
            <w:tcW w:type="dxa" w:w="1584"/>
            <w:shd w:fill="FAFAFA"/>
          </w:tcPr>
          <w:p>
            <w:pPr>
              <w:spacing w:before="40" w:after="40" w:line="252" w:lineRule="auto"/>
              <w:jc w:val="left"/>
            </w:pPr>
            <w:r>
              <w:rPr>
                <w:rFonts w:ascii="Times New Roman" w:hAnsi="Times New Roman"/>
                <w:sz w:val="18"/>
              </w:rPr>
              <w:t>Exceeds minimum by &gt;13×; stable centroid formation and silhouette.</w:t>
            </w:r>
          </w:p>
        </w:tc>
      </w:tr>
    </w:tbl>
    <w:p>
      <w:pPr>
        <w:spacing w:before="60" w:after="240"/>
      </w:pPr>
      <w:r>
        <w:rPr>
          <w:rFonts w:ascii="Times New Roman" w:hAnsi="Times New Roman"/>
          <w:i/>
          <w:sz w:val="18"/>
        </w:rPr>
        <w:t xml:space="preserve">Note. </w:t>
      </w:r>
      <w:r>
        <w:rPr>
          <w:rFonts w:ascii="Times New Roman" w:hAnsi="Times New Roman"/>
          <w:sz w:val="18"/>
        </w:rPr>
        <w:t>Comprehensive allocation of records across models confirming 100% data preservation (zero records discarded) and statistical power adequacy.</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executable Jupyter Notebook (.ipynb), and Python 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Interactive Jupyter Notebook (.ipynb): </w:t>
      </w:r>
      <w:r>
        <w:rPr>
          <w:rFonts w:ascii="Times New Roman" w:hAnsi="Times New Roman"/>
          <w:i w:val="0"/>
          <w:sz w:val="22"/>
        </w:rPr>
        <w:t>https://github.com/djmsritai-tech/QM640-Data-Analytics-Capstone/blob/main/QM640_Capstone_Analytics_Notebook_DhananjayVerma_0291493.ipynb</w:t>
      </w:r>
    </w:p>
    <w:p>
      <w:pPr>
        <w:spacing w:after="200" w:line="276" w:lineRule="auto"/>
        <w:jc w:val="left"/>
      </w:pPr>
      <w:r>
        <w:rPr>
          <w:rFonts w:ascii="Times New Roman" w:hAnsi="Times New Roman"/>
          <w:b/>
          <w:sz w:val="22"/>
        </w:rPr>
        <w:t xml:space="preserve">Code/scripts: </w:t>
      </w:r>
      <w:r>
        <w:rPr>
          <w:rFonts w:ascii="Times New Roman" w:hAnsi="Times New Roman"/>
          <w:i w:val="0"/>
          <w:sz w:val="22"/>
        </w:rPr>
        <w:t>https://github.com/djmsritai-tech/QM640-Data-Analytics-Capstone/tree/main/scripts</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dhananjay_final_capston_report_analytics.py [End-to-end Python statistical &amp; ML pipeline]</w:t>
        <w:br/>
        <w:t>│   ├── build_full_interim_report.py                [APA 7 Interim Report generation script]</w:t>
        <w:br/>
        <w:t>│   ├── build_full_final_report.py                  [APA 7 Final Report generation script]</w:t>
        <w:br/>
        <w:t>│   └── QM640_Capstone_Analytics_Notebook_DhananjayVerma_0291493.ipynb [Runnable Jupyter Notebook]</w:t>
        <w:br/>
        <w:t>│</w:t>
        <w:br/>
        <w:t>├── outputs/</w:t>
        <w:br/>
        <w:t>│   ├── analytics_results.json            [Complete JSON export of test statistics &amp; metrics]</w:t>
        <w:br/>
        <w:t>│   └── figures/                          [11 APA 7 publication figures (300 DPI)]</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 QM 640_Final_Report_DhananjayVerma-0291493.docx    [Standalone 40-page Final Report (.docx)]</w:t>
        <w:br/>
        <w:t>│   ├── QM 640_Final_Report_DhananjayVerma-0291493.pdf     [Standalone Compiled Final Report (.pdf)]</w:t>
        <w:br/>
        <w:t>│   ├── QM 640_Interim_Report_DhananjayVerma-0291493.docx  [Standalone 32-page Interim Report (.docx)]</w:t>
        <w:br/>
        <w:t>│   ├── QM 640_Interim_Report_DhananjayVerma-0291493.pdf   [Standalone Compiled Interim Report (.pdf)]</w:t>
        <w:br/>
        <w:t>│   └── QM640_Capstone_Synopsis_DhananjayVerma-0291493.docx [Approved Capstone Synopsis]</w:t>
        <w:br/>
        <w:t>│</w:t>
        <w:br/>
        <w:t>├── QM640_Capstone_Analytics_Notebook_DhananjayVerma_0291493.ipynb [Root Runnable Jupyter Notebook]</w:t>
        <w:br/>
        <w:t>├── requirements.txt                      [Python environment package requirements]</w:t>
        <w:br/>
        <w:t>├── .gitignore                            [Standard git exclusion rules]</w:t>
        <w:br/>
        <w:t>└── README.md                             [Comprehensive project documentation]</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4 enumerates the complete data cleaning log, specifying the anomaly detected, variables impacted, detection methodology, corrective treatment applied, and theoretical rationale.</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Data Cleaning and Preprocessing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p>
      <w:pPr>
        <w:spacing w:after="120" w:line="276" w:lineRule="auto"/>
        <w:jc w:val="left"/>
      </w:pPr>
      <w:r>
        <w:rPr>
          <w:rFonts w:ascii="Times New Roman" w:hAnsi="Times New Roman"/>
          <w:i w:val="0"/>
          <w:sz w:val="22"/>
        </w:rPr>
        <w:t>Table 5 synthesizes the key empirical insights, operational interpretations, and analytical modeling decisions derived from the preceding exploratory visualizations and statistical distributions.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EDA Insight Summary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6 details the feature set utilized across the predictive and unsupervised modeling architectures, specifying original versus engineered derivation, data type, operational inclusion rationale, and model utilization.</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Feature Set and Usage Specification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7 summarizes the formal mathematical evaluation metrics utilized across the inferential, predictive, and clustering models, including exact algebraic formulas, statistical interpretations, and specific capstone applications.</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Evaluation Metrics and Mathematical Formulations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8,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Preliminary Model Performance Comparison (RQ2)</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Fleet Operational Archetypes and Environmental Risk Clusters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9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