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48"/>
          <w:szCs w:val="48"/>
        </w:rPr>
        <w:t xml:space="preserve">SURVEY SOLUTIONS</w:t>
      </w:r>
    </w:p>
    <w:p>
      <w:pPr>
        <w:spacing w:after="100"/>
        <w:jc w:val="center"/>
      </w:pPr>
      <w:r>
        <w:rPr>
          <w:rFonts w:ascii="Arial" w:cs="Arial" w:eastAsia="Arial" w:hAnsi="Arial"/>
          <w:color w:val="2E75B6"/>
          <w:sz w:val="32"/>
          <w:szCs w:val="32"/>
        </w:rPr>
        <w:t xml:space="preserve">M&amp;A Funding Model Interpretation</w:t>
      </w:r>
    </w:p>
    <w:p>
      <w:pPr>
        <w:spacing w:after="100"/>
        <w:jc w:val="center"/>
      </w:pPr>
      <w:r>
        <w:rPr>
          <w:rFonts w:ascii="Arial" w:cs="Arial" w:eastAsia="Arial" w:hAnsi="Arial"/>
          <w:color w:val="999999"/>
          <w:sz w:val="28"/>
          <w:szCs w:val="28"/>
        </w:rPr>
        <w:t xml:space="preserve">&amp;</w:t>
      </w:r>
    </w:p>
    <w:p>
      <w:pPr>
        <w:spacing w:after="600"/>
        <w:jc w:val="center"/>
      </w:pPr>
      <w:r>
        <w:rPr>
          <w:rFonts w:ascii="Arial" w:cs="Arial" w:eastAsia="Arial" w:hAnsi="Arial"/>
          <w:color w:val="2E75B6"/>
          <w:sz w:val="32"/>
          <w:szCs w:val="32"/>
        </w:rPr>
        <w:t xml:space="preserve">Quarterly Integration Feature Plan</w:t>
      </w:r>
    </w:p>
    <w:p>
      <w:pPr>
        <w:pBdr>
          <w:top w:val="single" w:color="2E75B6" w:sz="6" w:space="1"/>
        </w:pBdr>
        <w:spacing w:after="200"/>
        <w:jc w:val="center"/>
      </w:pPr>
    </w:p>
    <w:p>
      <w:pPr>
        <w:spacing w:after="100"/>
        <w:jc w:val="center"/>
      </w:pPr>
      <w:r>
        <w:rPr>
          <w:rFonts w:ascii="Arial" w:cs="Arial" w:eastAsia="Arial" w:hAnsi="Arial"/>
          <w:color w:val="666666"/>
          <w:sz w:val="22"/>
          <w:szCs w:val="22"/>
        </w:rPr>
        <w:t xml:space="preserve">M&amp;A Targeting &amp; Valuation Tool</w:t>
      </w:r>
    </w:p>
    <w:p>
      <w:pPr>
        <w:spacing w:after="100"/>
        <w:jc w:val="center"/>
      </w:pPr>
      <w:r>
        <w:rPr>
          <w:rFonts w:ascii="Arial" w:cs="Arial" w:eastAsia="Arial" w:hAnsi="Arial"/>
          <w:color w:val="666666"/>
          <w:sz w:val="22"/>
          <w:szCs w:val="22"/>
        </w:rPr>
        <w:t xml:space="preserve">Prepared: March 2026</w:t>
      </w:r>
    </w:p>
    <w:p>
      <w:pPr>
        <w:jc w:val="center"/>
      </w:pPr>
      <w:r>
        <w:rPr>
          <w:rFonts w:ascii="Arial" w:cs="Arial" w:eastAsia="Arial" w:hAnsi="Arial"/>
          <w:b/>
          <w:bCs/>
          <w:color w:val="C00000"/>
          <w:sz w:val="20"/>
          <w:szCs w:val="20"/>
        </w:rPr>
        <w:t xml:space="preserve">CONFIDENTIAL</w:t>
      </w:r>
    </w:p>
    <w:p>
      <w:pPr>
        <w:sectPr>
          <w:pgSz w:w="11906" w:h="16838" w:orient="portrait"/>
          <w:pgMar w:top="1440" w:right="1440" w:bottom="1440" w:left="1440" w:header="708" w:footer="708" w:gutter="0"/>
          <w:pgNumType/>
          <w:docGrid w:linePitch="360"/>
        </w:sectPr>
      </w:pPr>
    </w:p>
    <w:p>
      <w:pPr>
        <w:spacing w:after="100"/>
      </w:pPr>
      <w:r>
        <w:rPr>
          <w:rFonts w:ascii="Arial" w:cs="Arial" w:eastAsia="Arial" w:hAnsi="Arial"/>
          <w:b/>
          <w:bCs/>
          <w:color w:val="C00000"/>
          <w:sz w:val="20"/>
          <w:szCs w:val="20"/>
        </w:rPr>
        <w:t xml:space="preserve">PART 1</w:t>
      </w:r>
    </w:p>
    <w:p>
      <w:pPr>
        <w:pStyle w:val="Heading1"/>
        <w:spacing w:after="200" w:before="300"/>
      </w:pPr>
      <w:r>
        <w:rPr>
          <w:rFonts w:ascii="Arial" w:cs="Arial" w:eastAsia="Arial" w:hAnsi="Arial"/>
          <w:b/>
          <w:bCs/>
          <w:color w:val="1F3864"/>
          <w:sz w:val="32"/>
          <w:szCs w:val="32"/>
        </w:rPr>
        <w:t xml:space="preserve">Excel Model Interpretation</w:t>
      </w:r>
    </w:p>
    <w:p>
      <w:pPr>
        <w:spacing w:after="120"/>
      </w:pPr>
      <w:r>
        <w:rPr>
          <w:rFonts w:ascii="Arial" w:cs="Arial" w:eastAsia="Arial" w:hAnsi="Arial"/>
          <w:color w:val="333333"/>
          <w:sz w:val="20"/>
          <w:szCs w:val="20"/>
        </w:rPr>
        <w:t xml:space="preserve">The file “Survey Solutions – Funding Plan Investment Case November 121125” is a buy-and-build financial model for Survey Solutions, a geotechnical and surveying services platform. The workbook contains four sheets: the primary Investment Case model, a Sheet1 scratch-pad with earlier pipeline numbers, a No Sumo scenario variant, and a Lookups sheet for quarterly date references. Below is a detailed interpretation of every component.</w:t>
      </w:r>
    </w:p>
    <w:p>
      <w:pPr>
        <w:pStyle w:val="Heading2"/>
        <w:spacing w:after="160" w:before="240"/>
      </w:pPr>
      <w:r>
        <w:rPr>
          <w:rFonts w:ascii="Arial" w:cs="Arial" w:eastAsia="Arial" w:hAnsi="Arial"/>
          <w:b/>
          <w:bCs/>
          <w:color w:val="2E75B6"/>
          <w:sz w:val="26"/>
          <w:szCs w:val="26"/>
        </w:rPr>
        <w:t xml:space="preserve">1.1 Model Overview &amp; Structure</w:t>
      </w:r>
    </w:p>
    <w:p>
      <w:pPr>
        <w:spacing w:after="120"/>
      </w:pPr>
      <w:r>
        <w:rPr>
          <w:rFonts w:ascii="Arial" w:cs="Arial" w:eastAsia="Arial" w:hAnsi="Arial"/>
          <w:color w:val="333333"/>
          <w:sz w:val="20"/>
          <w:szCs w:val="20"/>
        </w:rPr>
        <w:t xml:space="preserve">This is an annual (FY24–FY28E) leveraged acquisition model denominated in £’000. Survey Solutions is a platform company backed by WestBridge Capital, executing a roll-up strategy in the UK geotechnical, surveying, and environmental services sector. The model projects eight bolt-on acquisitions over a 4-year period (FY25–FY28), funded through a combination of bank debt (acquisition facility), deferred consideration, and equity from WestBridge.</w:t>
      </w:r>
    </w:p>
    <w:p>
      <w:pPr>
        <w:spacing w:after="120"/>
      </w:pPr>
      <w:r>
        <w:rPr>
          <w:rFonts w:ascii="Arial" w:cs="Arial" w:eastAsia="Arial" w:hAnsi="Arial"/>
          <w:color w:val="333333"/>
          <w:sz w:val="20"/>
          <w:szCs w:val="20"/>
        </w:rPr>
        <w:t xml:space="preserve">A critical note at the top of the model states that leverage calculations are based on post-acquisition full-year EBITDA but do not include forward-projected efficiencies. This is a conservative approach that understates available debt capacity.</w:t>
      </w:r>
    </w:p>
    <w:p>
      <w:pPr>
        <w:spacing w:after="120"/>
      </w:pPr>
      <w:r>
        <w:rPr>
          <w:rFonts w:ascii="Arial" w:cs="Arial" w:eastAsia="Arial" w:hAnsi="Arial"/>
          <w:color w:val="333333"/>
          <w:sz w:val="20"/>
          <w:szCs w:val="20"/>
        </w:rPr>
        <w:t xml:space="preserve">The model operates on an annual basis with quarterly acquisition timing encoded through a Lookups sheet (Q4 25 through Q4 28), but actual cash flows, debt draws, and EBITDA contributions are aggregated annually. This is the primary limitation that the proposed quarterly model would address.</w:t>
      </w:r>
    </w:p>
    <w:p>
      <w:pPr>
        <w:pStyle w:val="Heading2"/>
        <w:spacing w:after="160" w:before="240"/>
      </w:pPr>
      <w:r>
        <w:rPr>
          <w:rFonts w:ascii="Arial" w:cs="Arial" w:eastAsia="Arial" w:hAnsi="Arial"/>
          <w:b/>
          <w:bCs/>
          <w:color w:val="2E75B6"/>
          <w:sz w:val="26"/>
          <w:szCs w:val="26"/>
        </w:rPr>
        <w:t xml:space="preserve">1.2 Core Business Performance</w:t>
      </w:r>
    </w:p>
    <w:p>
      <w:pPr>
        <w:spacing w:after="120"/>
      </w:pPr>
      <w:r>
        <w:rPr>
          <w:rFonts w:ascii="Arial" w:cs="Arial" w:eastAsia="Arial" w:hAnsi="Arial"/>
          <w:color w:val="333333"/>
          <w:sz w:val="20"/>
          <w:szCs w:val="20"/>
        </w:rPr>
        <w:t xml:space="preserve">The core platform comprises three entities: LSS (the main Survey Solutions business), JWG, and SurvaTec (S/Tec). The core business revenue grows from £19.2m in FY25O to £24.3m by FY28E, with LSS contributing the lion’s share at 9% annual growth, while JWG and S/Tec each grow at 5%.</w:t>
      </w:r>
    </w:p>
    <w:p>
      <w:pPr>
        <w:spacing w:after="120"/>
      </w:pPr>
      <w:r>
        <w:rPr>
          <w:rFonts w:ascii="Arial" w:cs="Arial" w:eastAsia="Arial" w:hAnsi="Arial"/>
          <w:color w:val="333333"/>
          <w:sz w:val="20"/>
          <w:szCs w:val="20"/>
        </w:rPr>
        <w:t xml:space="preserve">EBITDA margins on the core business improve from 15.2% (FY25O) to 16.6% (FY28E), driven by overhead leverage. Overheads as a percentage of group revenue fall dramatically from 22.4% to 6.6% as acquired revenues scale across the fixed cost base. Core EBITDA grows from £2.9m to £4.0m organically.</w:t>
      </w:r>
    </w:p>
    <w:p>
      <w:pPr>
        <w:pStyle w:val="Heading2"/>
        <w:spacing w:after="160" w:before="240"/>
      </w:pPr>
      <w:r>
        <w:rPr>
          <w:rFonts w:ascii="Arial" w:cs="Arial" w:eastAsia="Arial" w:hAnsi="Arial"/>
          <w:b/>
          <w:bCs/>
          <w:color w:val="2E75B6"/>
          <w:sz w:val="26"/>
          <w:szCs w:val="26"/>
        </w:rPr>
        <w:t xml:space="preserve">1.3 Acquisition Pipeline</w:t>
      </w:r>
    </w:p>
    <w:p>
      <w:pPr>
        <w:spacing w:after="120"/>
      </w:pPr>
      <w:r>
        <w:rPr>
          <w:rFonts w:ascii="Arial" w:cs="Arial" w:eastAsia="Arial" w:hAnsi="Arial"/>
          <w:color w:val="333333"/>
          <w:sz w:val="20"/>
          <w:szCs w:val="20"/>
        </w:rPr>
        <w:t xml:space="preserve">The model defines eight sequential acquisitions, each with specific EBITDA, margin, acquisition timing, EV/EBITDA multiple, and transaction fees. The first two deals (FY26) are smaller with lower multiples (4.0x), while later deals scale up to 5.25–6.0x multiples as the platform grows.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100"/>
        <w:gridCol w:w="800"/>
        <w:gridCol w:w="900"/>
        <w:gridCol w:w="1100"/>
        <w:gridCol w:w="900"/>
        <w:gridCol w:w="1100"/>
      </w:tblGrid>
      <w:tr>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Target</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EBITDA (£k)</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Margin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Timing</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EV/EBITDA</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Fees</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Total Cost</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GeoTechnical Obs</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550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Q3 26</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4.0x</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£250k</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£2,450k</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Anthony Brookes / Met Geo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450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Q4 26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4.0x</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£250k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£2,050k</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Spectrum / Maltby</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750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Q2 27</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4.75x</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£300k</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£3,863k</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Geol / Morris Group</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750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Q3 27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4.75x</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£300k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£3,863k</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Soiltechnics</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750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Q4 27</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4.75x</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£300k</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£3,863k</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Zetica / Geotechnics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Q1 28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5.25x</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£350k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£5,600k</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7</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Technics Group / SML Group</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1,500</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Q2 28</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5.75x</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£350k</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£8,975k</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WDM / LS Transmission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1,500</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Q4 28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6.0x</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£350k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£9,350k</w:t>
            </w:r>
          </w:p>
        </w:tc>
      </w:tr>
    </w:tbl>
    <w:p>
      <w:pPr>
        <w:spacing w:after="120" w:before="120"/>
      </w:pPr>
      <w:r>
        <w:rPr>
          <w:rFonts w:ascii="Arial" w:cs="Arial" w:eastAsia="Arial" w:hAnsi="Arial"/>
          <w:b/>
          <w:bCs/>
          <w:color w:val="333333"/>
          <w:sz w:val="20"/>
          <w:szCs w:val="20"/>
        </w:rPr>
        <w:t xml:space="preserve">Key observation: </w:t>
      </w:r>
      <w:r>
        <w:rPr>
          <w:rFonts w:ascii="Arial" w:cs="Arial" w:eastAsia="Arial" w:hAnsi="Arial"/>
          <w:color w:val="333333"/>
          <w:sz w:val="20"/>
          <w:szCs w:val="20"/>
        </w:rPr>
        <w:t xml:space="preserve">Multiples escalate with deal size, reflecting the premium paid for larger, more established targets. Early deals at 4.0x are highly accretive to the platform’s exit multiple of 12.0x, creating significant arbitrage.</w:t>
      </w:r>
    </w:p>
    <w:p>
      <w:pPr>
        <w:pStyle w:val="Heading2"/>
        <w:spacing w:after="160" w:before="240"/>
      </w:pPr>
      <w:r>
        <w:rPr>
          <w:rFonts w:ascii="Arial" w:cs="Arial" w:eastAsia="Arial" w:hAnsi="Arial"/>
          <w:b/>
          <w:bCs/>
          <w:color w:val="2E75B6"/>
          <w:sz w:val="26"/>
          <w:szCs w:val="26"/>
        </w:rPr>
        <w:t xml:space="preserve">1.4 Pre-Existing Pipeline (CCGI &amp; SiteEye)</w:t>
      </w:r>
    </w:p>
    <w:p>
      <w:pPr>
        <w:spacing w:after="120"/>
      </w:pPr>
      <w:r>
        <w:rPr>
          <w:rFonts w:ascii="Arial" w:cs="Arial" w:eastAsia="Arial" w:hAnsi="Arial"/>
          <w:color w:val="333333"/>
          <w:sz w:val="20"/>
          <w:szCs w:val="20"/>
        </w:rPr>
        <w:t xml:space="preserve">In addition to the eight numbered acquisitions, the model includes CCGI (£5.5m revenue, £1.1m EBITDA at 5.25x) and SiteEye (£1.6m revenue, £400k EBITDA at 4.0x), both completing in FY26E. These are treated separately from the main pipeline and appear to already be in advanced stages. Together they add £7.1m revenue and £1.5m EBITDA, with £7.9m total funding required and £2.5m of WestBridge equity.</w:t>
      </w:r>
    </w:p>
    <w:p>
      <w:pPr>
        <w:pStyle w:val="Heading2"/>
        <w:spacing w:after="160" w:before="240"/>
      </w:pPr>
      <w:r>
        <w:rPr>
          <w:rFonts w:ascii="Arial" w:cs="Arial" w:eastAsia="Arial" w:hAnsi="Arial"/>
          <w:b/>
          <w:bCs/>
          <w:color w:val="2E75B6"/>
          <w:sz w:val="26"/>
          <w:szCs w:val="26"/>
        </w:rPr>
        <w:t xml:space="preserve">1.5 Synergy Model</w:t>
      </w:r>
    </w:p>
    <w:p>
      <w:pPr>
        <w:spacing w:after="120"/>
      </w:pPr>
      <w:r>
        <w:rPr>
          <w:rFonts w:ascii="Arial" w:cs="Arial" w:eastAsia="Arial" w:hAnsi="Arial"/>
          <w:color w:val="333333"/>
          <w:sz w:val="20"/>
          <w:szCs w:val="20"/>
        </w:rPr>
        <w:t xml:space="preserve">The model uses a quarterly phase-in approach for synergies, which varies based on acquisition timing within the financial year. The Lookups sheet provides Q4 25 through Q4 28 as reference dates, and the synergy actualisation follows this pattern:</w:t>
      </w:r>
    </w:p>
    <w:p>
      <w:pPr>
        <w:pStyle w:val="ListParagraph"/>
        <w:numPr>
          <w:ilvl w:val="0"/>
          <w:numId w:val="2"/>
        </w:numPr>
        <w:spacing w:after="80"/>
      </w:pPr>
      <w:r>
        <w:rPr>
          <w:rFonts w:ascii="Arial" w:cs="Arial" w:eastAsia="Arial" w:hAnsi="Arial"/>
          <w:sz w:val="20"/>
          <w:szCs w:val="20"/>
        </w:rPr>
        <w:t xml:space="preserve">Q1 acquisition: 75% in Year 1, 25% in Year 2</w:t>
      </w:r>
    </w:p>
    <w:p>
      <w:pPr>
        <w:pStyle w:val="ListParagraph"/>
        <w:numPr>
          <w:ilvl w:val="0"/>
          <w:numId w:val="2"/>
        </w:numPr>
        <w:spacing w:after="80"/>
      </w:pPr>
      <w:r>
        <w:rPr>
          <w:rFonts w:ascii="Arial" w:cs="Arial" w:eastAsia="Arial" w:hAnsi="Arial"/>
          <w:sz w:val="20"/>
          <w:szCs w:val="20"/>
        </w:rPr>
        <w:t xml:space="preserve">Q2 acquisition: 50% in Year 1, 50% in Year 2</w:t>
      </w:r>
    </w:p>
    <w:p>
      <w:pPr>
        <w:pStyle w:val="ListParagraph"/>
        <w:numPr>
          <w:ilvl w:val="0"/>
          <w:numId w:val="2"/>
        </w:numPr>
        <w:spacing w:after="80"/>
      </w:pPr>
      <w:r>
        <w:rPr>
          <w:rFonts w:ascii="Arial" w:cs="Arial" w:eastAsia="Arial" w:hAnsi="Arial"/>
          <w:sz w:val="20"/>
          <w:szCs w:val="20"/>
        </w:rPr>
        <w:t xml:space="preserve">Q3 acquisition: 25% in Year 1, 75% in Year 2</w:t>
      </w:r>
    </w:p>
    <w:p>
      <w:pPr>
        <w:pStyle w:val="ListParagraph"/>
        <w:numPr>
          <w:ilvl w:val="0"/>
          <w:numId w:val="2"/>
        </w:numPr>
        <w:spacing w:after="120"/>
      </w:pPr>
      <w:r>
        <w:rPr>
          <w:rFonts w:ascii="Arial" w:cs="Arial" w:eastAsia="Arial" w:hAnsi="Arial"/>
          <w:sz w:val="20"/>
          <w:szCs w:val="20"/>
        </w:rPr>
        <w:t xml:space="preserve">Q4 acquisition: 0% in Year 1, 100% in Year 2</w:t>
      </w:r>
    </w:p>
    <w:p>
      <w:pPr>
        <w:spacing w:after="120"/>
      </w:pPr>
      <w:r>
        <w:rPr>
          <w:rFonts w:ascii="Arial" w:cs="Arial" w:eastAsia="Arial" w:hAnsi="Arial"/>
          <w:color w:val="333333"/>
          <w:sz w:val="20"/>
          <w:szCs w:val="20"/>
        </w:rPr>
        <w:t xml:space="preserve">Synergy values per acquisition range from £75k (smaller deals) to £150k (larger deals), representing roughly 10% of target EBITDA. Total synergies reach £356k by FY28E — conservative but realistic for back-office consolidation and cross-selling.</w:t>
      </w:r>
    </w:p>
    <w:p>
      <w:pPr>
        <w:pStyle w:val="Heading2"/>
        <w:spacing w:after="160" w:before="240"/>
      </w:pPr>
      <w:r>
        <w:rPr>
          <w:rFonts w:ascii="Arial" w:cs="Arial" w:eastAsia="Arial" w:hAnsi="Arial"/>
          <w:b/>
          <w:bCs/>
          <w:color w:val="2E75B6"/>
          <w:sz w:val="26"/>
          <w:szCs w:val="26"/>
        </w:rPr>
        <w:t xml:space="preserve">1.6 Group P&amp;L Summary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200"/>
        <w:gridCol w:w="120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£'000</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FY24</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FY25O</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FY26E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FY27E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FY28E</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Core Revenue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13,100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19,221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20,670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22,396</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24,270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Acquisition Revenue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11,895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28,562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57,937</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Group Revenue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13,100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19,221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32,565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50,958</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82,207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Core EBITDA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1,900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2,914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3,375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3,635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4,036</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Acquisition EBITDA</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2,594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5,273</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9,893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Group EBITDA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1,900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2,914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5,969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8,908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13,930</w:t>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EBITDA Margin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14.5%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15.2%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18.3%</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17.5%</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16.9%</w:t>
            </w:r>
          </w:p>
        </w:tc>
      </w:tr>
    </w:tbl>
    <w:p>
      <w:pPr>
        <w:spacing w:after="120" w:before="120"/>
      </w:pPr>
    </w:p>
    <w:p>
      <w:pPr>
        <w:spacing w:after="120"/>
      </w:pPr>
      <w:r>
        <w:rPr>
          <w:rFonts w:ascii="Arial" w:cs="Arial" w:eastAsia="Arial" w:hAnsi="Arial"/>
          <w:color w:val="333333"/>
          <w:sz w:val="20"/>
          <w:szCs w:val="20"/>
        </w:rPr>
        <w:t xml:space="preserve">Group EBITDA grows 4.8x from £2.9m to £13.9m over the period, with acquired businesses contributing £9.9m of the £11.0m total increase. The EBITDA margin peaks at 18.3% in FY26E (when initial acquisitions at higher margins join) before settling at 16.9% as larger, lower-margin deals complete.</w:t>
      </w:r>
    </w:p>
    <w:p>
      <w:pPr>
        <w:pStyle w:val="Heading2"/>
        <w:spacing w:after="160" w:before="240"/>
      </w:pPr>
      <w:r>
        <w:rPr>
          <w:rFonts w:ascii="Arial" w:cs="Arial" w:eastAsia="Arial" w:hAnsi="Arial"/>
          <w:b/>
          <w:bCs/>
          <w:color w:val="2E75B6"/>
          <w:sz w:val="26"/>
          <w:szCs w:val="26"/>
        </w:rPr>
        <w:t xml:space="preserve">1.7 Cash Flow &amp; Cash Generation</w:t>
      </w:r>
    </w:p>
    <w:p>
      <w:pPr>
        <w:spacing w:after="120"/>
      </w:pPr>
      <w:r>
        <w:rPr>
          <w:rFonts w:ascii="Arial" w:cs="Arial" w:eastAsia="Arial" w:hAnsi="Arial"/>
          <w:color w:val="333333"/>
          <w:sz w:val="20"/>
          <w:szCs w:val="20"/>
        </w:rPr>
        <w:t xml:space="preserve">The model tracks post-investment-case net cash inflow (P&gt;IT), which represents the true cash generation after all operational and financing costs. Key cash flow components include:</w:t>
      </w:r>
    </w:p>
    <w:p>
      <w:pPr>
        <w:pStyle w:val="ListParagraph"/>
        <w:numPr>
          <w:ilvl w:val="0"/>
          <w:numId w:val="3"/>
        </w:numPr>
        <w:spacing w:after="80"/>
      </w:pPr>
      <w:r>
        <w:rPr>
          <w:rFonts w:ascii="Arial" w:cs="Arial" w:eastAsia="Arial" w:hAnsi="Arial"/>
          <w:sz w:val="20"/>
          <w:szCs w:val="20"/>
        </w:rPr>
        <w:t xml:space="preserve">Capex at 3% of revenue (50% capital, 50% HP), growing from £577k to £2.5m</w:t>
      </w:r>
    </w:p>
    <w:p>
      <w:pPr>
        <w:pStyle w:val="ListParagraph"/>
        <w:numPr>
          <w:ilvl w:val="0"/>
          <w:numId w:val="3"/>
        </w:numPr>
        <w:spacing w:after="80"/>
      </w:pPr>
      <w:r>
        <w:rPr>
          <w:rFonts w:ascii="Arial" w:cs="Arial" w:eastAsia="Arial" w:hAnsi="Arial"/>
          <w:sz w:val="20"/>
          <w:szCs w:val="20"/>
        </w:rPr>
        <w:t xml:space="preserve">Working capital outflow at 2 months of revenue growth, absorbing £169k–£837k annually</w:t>
      </w:r>
    </w:p>
    <w:p>
      <w:pPr>
        <w:pStyle w:val="ListParagraph"/>
        <w:numPr>
          <w:ilvl w:val="0"/>
          <w:numId w:val="3"/>
        </w:numPr>
        <w:spacing w:after="80"/>
      </w:pPr>
      <w:r>
        <w:rPr>
          <w:rFonts w:ascii="Arial" w:cs="Arial" w:eastAsia="Arial" w:hAnsi="Arial"/>
          <w:sz w:val="20"/>
          <w:szCs w:val="20"/>
        </w:rPr>
        <w:t xml:space="preserve">Bank debt interest at 10.75% on the acquisition facility</w:t>
      </w:r>
    </w:p>
    <w:p>
      <w:pPr>
        <w:pStyle w:val="ListParagraph"/>
        <w:numPr>
          <w:ilvl w:val="0"/>
          <w:numId w:val="3"/>
        </w:numPr>
        <w:spacing w:after="80"/>
      </w:pPr>
      <w:r>
        <w:rPr>
          <w:rFonts w:ascii="Arial" w:cs="Arial" w:eastAsia="Arial" w:hAnsi="Arial"/>
          <w:sz w:val="20"/>
          <w:szCs w:val="20"/>
        </w:rPr>
        <w:t xml:space="preserve">HP interest at 8.5% on hire purchase liabilities</w:t>
      </w:r>
    </w:p>
    <w:p>
      <w:pPr>
        <w:pStyle w:val="ListParagraph"/>
        <w:numPr>
          <w:ilvl w:val="0"/>
          <w:numId w:val="3"/>
        </w:numPr>
        <w:spacing w:after="80"/>
      </w:pPr>
      <w:r>
        <w:rPr>
          <w:rFonts w:ascii="Arial" w:cs="Arial" w:eastAsia="Arial" w:hAnsi="Arial"/>
          <w:sz w:val="20"/>
          <w:szCs w:val="20"/>
        </w:rPr>
        <w:t xml:space="preserve">Exceptionals of £2m (FY25) then £1m per year for integration costs</w:t>
      </w:r>
    </w:p>
    <w:p>
      <w:pPr>
        <w:pStyle w:val="ListParagraph"/>
        <w:numPr>
          <w:ilvl w:val="0"/>
          <w:numId w:val="3"/>
        </w:numPr>
        <w:spacing w:after="120"/>
      </w:pPr>
      <w:r>
        <w:rPr>
          <w:rFonts w:ascii="Arial" w:cs="Arial" w:eastAsia="Arial" w:hAnsi="Arial"/>
          <w:sz w:val="20"/>
          <w:szCs w:val="20"/>
        </w:rPr>
        <w:t xml:space="preserve">Tax at 0% (losses brought forward absorb tax liability through the plan period)</w:t>
      </w:r>
    </w:p>
    <w:p>
      <w:pPr>
        <w:spacing w:after="120"/>
      </w:pPr>
      <w:r>
        <w:rPr>
          <w:rFonts w:ascii="Arial" w:cs="Arial" w:eastAsia="Arial" w:hAnsi="Arial"/>
          <w:color w:val="333333"/>
          <w:sz w:val="20"/>
          <w:szCs w:val="20"/>
        </w:rPr>
        <w:t xml:space="preserve">Net cash generation moves from a deficit of (£1.0m) in FY25O to positive £3.8m by FY28E. Cumulative cash at exit reaches £6.3m, which flows through to equity value.</w:t>
      </w:r>
    </w:p>
    <w:p>
      <w:pPr>
        <w:pStyle w:val="Heading2"/>
        <w:spacing w:after="160" w:before="240"/>
      </w:pPr>
      <w:r>
        <w:rPr>
          <w:rFonts w:ascii="Arial" w:cs="Arial" w:eastAsia="Arial" w:hAnsi="Arial"/>
          <w:b/>
          <w:bCs/>
          <w:color w:val="2E75B6"/>
          <w:sz w:val="26"/>
          <w:szCs w:val="26"/>
        </w:rPr>
        <w:t xml:space="preserve">1.8 Funding Structure &amp; Debt Analysis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450"/>
        <w:gridCol w:w="1450"/>
        <w:gridCol w:w="1450"/>
        <w:gridCol w:w="145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£'000</w:t>
            </w:r>
          </w:p>
        </w:tc>
        <w:tc>
          <w:tcPr>
            <w:tcW w:type="dxa" w:w="14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FY25O</w:t>
            </w:r>
          </w:p>
        </w:tc>
        <w:tc>
          <w:tcPr>
            <w:tcW w:type="dxa" w:w="14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FY26E</w:t>
            </w:r>
          </w:p>
        </w:tc>
        <w:tc>
          <w:tcPr>
            <w:tcW w:type="dxa" w:w="14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FY27E</w:t>
            </w:r>
          </w:p>
        </w:tc>
        <w:tc>
          <w:tcPr>
            <w:tcW w:type="dxa" w:w="14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FY28E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Total Funding Required</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12,425</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11,588</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23,925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Bank Debt Capacity</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9,038</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9,338</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16,050</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Deferred Consideration</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1,000</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2,672</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9,150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WestBridge Equity</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2,500</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Opening Debt</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7,990</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7,990</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17,028</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27,365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Drawdowns</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9,038</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10,338</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18,722</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Closing Debt</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7,990</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17,028</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27,365</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46,087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Leverage (x EBITDA)</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2.7x</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2.9x</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3.1x</w:t>
            </w:r>
          </w:p>
        </w:tc>
        <w:tc>
          <w:tcPr>
            <w:tcW w:type="dxa" w:w="14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3.3x</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Debt Headroom</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753</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2,372</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6,041</w:t>
            </w:r>
          </w:p>
        </w:tc>
        <w:tc>
          <w:tcPr>
            <w:tcW w:type="dxa" w:w="145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6,149</w:t>
            </w:r>
          </w:p>
        </w:tc>
      </w:tr>
    </w:tbl>
    <w:p>
      <w:pPr>
        <w:spacing w:after="120" w:before="120"/>
      </w:pPr>
    </w:p>
    <w:p>
      <w:pPr>
        <w:spacing w:after="120"/>
      </w:pPr>
      <w:r>
        <w:rPr>
          <w:rFonts w:ascii="Arial" w:cs="Arial" w:eastAsia="Arial" w:hAnsi="Arial"/>
          <w:color w:val="333333"/>
          <w:sz w:val="20"/>
          <w:szCs w:val="20"/>
        </w:rPr>
        <w:t xml:space="preserve">The model uses ThinCats-style covenant ratios that step up with EBITDA: 3.0x below £3.5m, 3.25x at £3.5–5.0m, and 3.75x above £5.0m (with a placeholder for 4.0x above £10m, not yet activated). Total closing debt reaches £46.1m by FY28E against £13.9m EBITDA, representing 3.3x leverage — within the 3.75x covenant.</w:t>
      </w:r>
    </w:p>
    <w:p>
      <w:pPr>
        <w:spacing w:after="120"/>
      </w:pPr>
      <w:r>
        <w:rPr>
          <w:rFonts w:ascii="Arial" w:cs="Arial" w:eastAsia="Arial" w:hAnsi="Arial"/>
          <w:color w:val="333333"/>
          <w:sz w:val="20"/>
          <w:szCs w:val="20"/>
        </w:rPr>
        <w:t xml:space="preserve">Deferred consideration plays a critical role in bridging the funding gap, rising from £1.0m in FY26E to £9.2m in FY28E. This represents 25% deferred for 1 year on smaller deals and 2-year deferrals on larger FY28 transactions. This structuring reduces upfront equity and debt requirements significantly.</w:t>
      </w:r>
    </w:p>
    <w:p>
      <w:pPr>
        <w:spacing w:after="120"/>
      </w:pPr>
      <w:r>
        <w:rPr>
          <w:rFonts w:ascii="Arial" w:cs="Arial" w:eastAsia="Arial" w:hAnsi="Arial"/>
          <w:color w:val="333333"/>
          <w:sz w:val="20"/>
          <w:szCs w:val="20"/>
        </w:rPr>
        <w:t xml:space="preserve">WestBridge equity totals £4.1m (£1.6m initial + £2.5m for FY26 acquisitions), with a potential additional dilutive equity requirement of £1.1m flagged but not yet integrated.</w:t>
      </w:r>
    </w:p>
    <w:p>
      <w:pPr>
        <w:pStyle w:val="Heading2"/>
        <w:spacing w:after="160" w:before="240"/>
      </w:pPr>
      <w:r>
        <w:rPr>
          <w:rFonts w:ascii="Arial" w:cs="Arial" w:eastAsia="Arial" w:hAnsi="Arial"/>
          <w:b/>
          <w:bCs/>
          <w:color w:val="2E75B6"/>
          <w:sz w:val="26"/>
          <w:szCs w:val="26"/>
        </w:rPr>
        <w:t xml:space="preserve">1.9 Investor Returns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0"/>
        <w:gridCol w:w="3600"/>
      </w:tblGrid>
      <w:tr>
        <w:tc>
          <w:tcPr>
            <w:tcW w:type="dxa" w:w="5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Value</w:t>
            </w:r>
          </w:p>
        </w:tc>
      </w:tr>
      <w:tr>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Exit Year</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FY28E (Year 5)</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Exit EBITDA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£13,930k</w:t>
            </w:r>
          </w:p>
        </w:tc>
      </w:tr>
      <w:tr>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Exit Multiple</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12.0x</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Enterprise Value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£167,154k</w:t>
            </w:r>
          </w:p>
        </w:tc>
      </w:tr>
      <w:tr>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Cash at Exit</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£6,285k</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Net Debt at Exit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(£46,087k)</w:t>
            </w:r>
          </w:p>
        </w:tc>
      </w:tr>
      <w:tr>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Equity Value</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£81,890k</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WB III LP Share (47.9%)</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£39,226k</w:t>
            </w:r>
          </w:p>
        </w:tc>
      </w:tr>
      <w:tr>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WB Nominees (28.9%)</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£23,694k</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Management (3.2% + 20% sweet)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£19,003k</w:t>
            </w:r>
          </w:p>
        </w:tc>
      </w:tr>
      <w:tr>
        <w:tc>
          <w:tcPr>
            <w:tcW w:type="dxa" w:w="5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WestBridge Total Investment</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£19,796k</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3864"/>
                <w:sz w:val="18"/>
                <w:szCs w:val="18"/>
              </w:rPr>
              <w:t xml:space="preserve">WestBridge MoM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F3864"/>
                <w:sz w:val="18"/>
                <w:szCs w:val="18"/>
              </w:rPr>
              <w:t xml:space="preserve">4.9x</w:t>
            </w:r>
          </w:p>
        </w:tc>
      </w:tr>
    </w:tbl>
    <w:p>
      <w:pPr>
        <w:spacing w:after="120" w:before="120"/>
      </w:pPr>
    </w:p>
    <w:p>
      <w:pPr>
        <w:spacing w:after="120"/>
      </w:pPr>
      <w:r>
        <w:rPr>
          <w:rFonts w:ascii="Arial" w:cs="Arial" w:eastAsia="Arial" w:hAnsi="Arial"/>
          <w:color w:val="333333"/>
          <w:sz w:val="20"/>
          <w:szCs w:val="20"/>
        </w:rPr>
        <w:t xml:space="preserve">The model applies a 12.0x exit multiple to FY28E EBITDA of £13.9m, producing an EV of £167m. After deducting net debt (£46.1m), loan notes (£15.7m WB + £590k management), accrued interest (£12.6m WB + £474k management), and adding cash (£6.3m), equity value reaches £81.9m.</w:t>
      </w:r>
    </w:p>
    <w:p>
      <w:pPr>
        <w:spacing w:after="120"/>
      </w:pPr>
      <w:r>
        <w:rPr>
          <w:rFonts w:ascii="Arial" w:cs="Arial" w:eastAsia="Arial" w:hAnsi="Arial"/>
          <w:color w:val="333333"/>
          <w:sz w:val="20"/>
          <w:szCs w:val="20"/>
        </w:rPr>
        <w:t xml:space="preserve">WestBridge achieves a 4.9x MoM return on their £19.8m total investment, split between WB III LP (47.9%) and WB Nominees (28.9%). Management receives 3.2% base equity plus a 20% sweet equity kicker, totalling £19.0m.</w:t>
      </w:r>
    </w:p>
    <w:p>
      <w:pPr>
        <w:pStyle w:val="Heading2"/>
        <w:spacing w:after="160" w:before="240"/>
      </w:pPr>
      <w:r>
        <w:rPr>
          <w:rFonts w:ascii="Arial" w:cs="Arial" w:eastAsia="Arial" w:hAnsi="Arial"/>
          <w:b/>
          <w:bCs/>
          <w:color w:val="2E75B6"/>
          <w:sz w:val="26"/>
          <w:szCs w:val="26"/>
        </w:rPr>
        <w:t xml:space="preserve">1.10 Scenario Analysis: No Sumo Variant</w:t>
      </w:r>
    </w:p>
    <w:p>
      <w:pPr>
        <w:spacing w:after="120"/>
      </w:pPr>
      <w:r>
        <w:rPr>
          <w:rFonts w:ascii="Arial" w:cs="Arial" w:eastAsia="Arial" w:hAnsi="Arial"/>
          <w:color w:val="333333"/>
          <w:sz w:val="20"/>
          <w:szCs w:val="20"/>
        </w:rPr>
        <w:t xml:space="preserve">The “No Sumo” sheet runs an identical model structure but removes the Sumo acquisition (originally £6.7m revenue, £1.3m EBITDA at 6.0x) and replaces CCGI/SiteEye in FY25O (rather than FY26). This scenario achieves lower terminal EBITDA of £13.4m and uses a conservative 8.5x exit multiple, resulting in £114m EV and £25.8m equity value. WestBridge MoM drops to 2.8x. The higher leverage multiples (up to 4.0x) in this scenario suggest riskier financing needed to compensate for lower EBITDA base.</w:t>
      </w:r>
    </w:p>
    <w:p>
      <w:r>
        <w:br w:type="page"/>
      </w:r>
    </w:p>
    <w:p>
      <w:pPr>
        <w:spacing w:after="100"/>
      </w:pPr>
      <w:r>
        <w:rPr>
          <w:rFonts w:ascii="Arial" w:cs="Arial" w:eastAsia="Arial" w:hAnsi="Arial"/>
          <w:b/>
          <w:bCs/>
          <w:color w:val="C00000"/>
          <w:sz w:val="20"/>
          <w:szCs w:val="20"/>
        </w:rPr>
        <w:t xml:space="preserve">PART 2</w:t>
      </w:r>
    </w:p>
    <w:p>
      <w:pPr>
        <w:pStyle w:val="Heading1"/>
        <w:spacing w:after="200" w:before="300"/>
      </w:pPr>
      <w:r>
        <w:rPr>
          <w:rFonts w:ascii="Arial" w:cs="Arial" w:eastAsia="Arial" w:hAnsi="Arial"/>
          <w:b/>
          <w:bCs/>
          <w:color w:val="1F3864"/>
          <w:sz w:val="32"/>
          <w:szCs w:val="32"/>
        </w:rPr>
        <w:t xml:space="preserve">Feature Plan: Quarterly M&amp;A Integration Model</w:t>
      </w:r>
    </w:p>
    <w:p>
      <w:pPr>
        <w:pStyle w:val="Heading2"/>
        <w:spacing w:after="160" w:before="240"/>
      </w:pPr>
      <w:r>
        <w:rPr>
          <w:rFonts w:ascii="Arial" w:cs="Arial" w:eastAsia="Arial" w:hAnsi="Arial"/>
          <w:b/>
          <w:bCs/>
          <w:color w:val="2E75B6"/>
          <w:sz w:val="26"/>
          <w:szCs w:val="26"/>
        </w:rPr>
        <w:t xml:space="preserve">2.1 Current Tool Assessment</w:t>
      </w:r>
    </w:p>
    <w:p>
      <w:pPr>
        <w:spacing w:after="120"/>
      </w:pPr>
      <w:r>
        <w:rPr>
          <w:rFonts w:ascii="Arial" w:cs="Arial" w:eastAsia="Arial" w:hAnsi="Arial"/>
          <w:color w:val="333333"/>
          <w:sz w:val="20"/>
          <w:szCs w:val="20"/>
        </w:rPr>
        <w:t xml:space="preserve">The M&amp;A Targeting &amp; Valuation Tool (https://acquisition-tool.onrender.com/) currently provides: a Dashboard with pipeline summary metrics (289 companies, scoring, revenue data), Long List and Short List views with company scoring, filtering by region/employees/score, Companies House lookup integration, a DCF Valuation module (single-company, annual basis), Import/Export functionality, AI Assistant, and Trends visualisation.</w:t>
      </w:r>
    </w:p>
    <w:p>
      <w:pPr>
        <w:spacing w:after="120"/>
      </w:pPr>
      <w:r>
        <w:rPr>
          <w:rFonts w:ascii="Arial" w:cs="Arial" w:eastAsia="Arial" w:hAnsi="Arial"/>
          <w:color w:val="333333"/>
          <w:sz w:val="20"/>
          <w:szCs w:val="20"/>
        </w:rPr>
        <w:t xml:space="preserve">The tool excels at target identification and screening but lacks the post-acquisition financial modelling, cash flow projection, and funding analysis that the Excel model provides. The proposed integration would bridge this gap by connecting the shortlisted targets directly into a quarterly buy-and-build financial model.</w:t>
      </w:r>
    </w:p>
    <w:p>
      <w:pPr>
        <w:pStyle w:val="Heading2"/>
        <w:spacing w:after="160" w:before="240"/>
      </w:pPr>
      <w:r>
        <w:rPr>
          <w:rFonts w:ascii="Arial" w:cs="Arial" w:eastAsia="Arial" w:hAnsi="Arial"/>
          <w:b/>
          <w:bCs/>
          <w:color w:val="2E75B6"/>
          <w:sz w:val="26"/>
          <w:szCs w:val="26"/>
        </w:rPr>
        <w:t xml:space="preserve">2.2 Integration Vision</w:t>
      </w:r>
    </w:p>
    <w:p>
      <w:pPr>
        <w:spacing w:after="120"/>
      </w:pPr>
      <w:r>
        <w:rPr>
          <w:rFonts w:ascii="Arial" w:cs="Arial" w:eastAsia="Arial" w:hAnsi="Arial"/>
          <w:color w:val="333333"/>
          <w:sz w:val="20"/>
          <w:szCs w:val="20"/>
        </w:rPr>
        <w:t xml:space="preserve">The new “Acquisition Model” tab would allow users to drag shortlisted companies from the Short List into a sequenced acquisition timeline, set quarterly timing for each deal, and automatically generate a full quarterly cash flow, funding, and returns model — replacing the Excel spreadsheet entirely. The model header would define the acquisition sequence and quarterly phasing, while the body would compute all downstream impacts quarterly.</w:t>
      </w:r>
    </w:p>
    <w:p>
      <w:pPr>
        <w:pStyle w:val="Heading2"/>
        <w:spacing w:after="160" w:before="240"/>
      </w:pPr>
      <w:r>
        <w:rPr>
          <w:rFonts w:ascii="Arial" w:cs="Arial" w:eastAsia="Arial" w:hAnsi="Arial"/>
          <w:b/>
          <w:bCs/>
          <w:color w:val="2E75B6"/>
          <w:sz w:val="26"/>
          <w:szCs w:val="26"/>
        </w:rPr>
        <w:t xml:space="preserve">2.3 Feature Plan</w:t>
      </w:r>
    </w:p>
    <w:p>
      <w:pPr>
        <w:pStyle w:val="Heading3"/>
        <w:spacing w:after="120" w:before="200"/>
      </w:pPr>
      <w:r>
        <w:rPr>
          <w:rFonts w:ascii="Arial" w:cs="Arial" w:eastAsia="Arial" w:hAnsi="Arial"/>
          <w:b/>
          <w:bCs/>
          <w:color w:val="404040"/>
          <w:sz w:val="22"/>
          <w:szCs w:val="22"/>
        </w:rPr>
        <w:t xml:space="preserve">Phase 1: Core Quarterly Model Engine (P0 — Must Have)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40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Acquisition Sequencer</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Drag-and-drop interface at the top of the model tab where shortlisted companies can be ordered and assigned to specific quarters (Q1 26 through Q4 28). Each slot shows target name, EBITDA, revenue, and proposed multiple.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Quarterly P&amp;L Build-Up</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Core business revenue/EBITDA with quarterly seasonality, plus quarterly phasing of acquired EBITDA (pro-rata from acquisition quarter). Mirrors the Excel ‘EBITDA schedule’ but at quarterly granularity.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P0</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Quarterly Cash Flow Waterfall</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EBITDA → Capex → Working Capital → Interest → Tax → Net Cash Flow. Each line computed quarterly with separate treatment of HP capital/interest, bank interest, and exceptionals. Running cumulative cash balance.</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Funding Requirement Engine</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Per-acquisition funding breakdown: total cost (EBITDA × multiple + fees), split into bank debt (leverage-constrained), deferred consideration (configurable % and term), and equity residual. Quarterly debt drawdown schedule.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P0</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Leverage Covenant Tracker</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Real-time leverage ratio (debt / LTM EBITDA) calculated quarterly against configurable covenant step-ups (3.0x / 3.25x / 3.75x / 4.0x). Visual warning when approaching or breaching covenants.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P0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Assumptions Panel</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Configurable global assumptions: revenue growth rates (per entity), EBITDA margins, overhead %, capex % of revenue, WC days, interest rates (bank, HP, loan notes), tax rate, and deferred consideration terms.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P0</w:t>
            </w:r>
          </w:p>
        </w:tc>
      </w:tr>
    </w:tbl>
    <w:p>
      <w:pPr>
        <w:pStyle w:val="Heading3"/>
        <w:spacing w:after="120" w:before="200"/>
      </w:pPr>
      <w:r>
        <w:rPr>
          <w:rFonts w:ascii="Arial" w:cs="Arial" w:eastAsia="Arial" w:hAnsi="Arial"/>
          <w:b/>
          <w:bCs/>
          <w:color w:val="404040"/>
          <w:sz w:val="22"/>
          <w:szCs w:val="22"/>
        </w:rPr>
        <w:t xml:space="preserve">Phase 2: Synergies &amp; Returns (P1 — High Priority)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40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Quarterly Synergy Phase-In</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Replicate the Excel synergy actualisation model: per-acquisition synergy amount with quarterly phase-in based on acquisition quarter (Q1=75%/25%, Q2=50%/50%, Q3=25%/75%, Q4=0%/100%). Feed into EBITDA.</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ED7D31"/>
                <w:sz w:val="18"/>
                <w:szCs w:val="18"/>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Investor Returns Calculator</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Exit valuation (configurable multiple × exit EBITDA), waterfall through debt, loan notes, accrued interest, to equity value. Split by investor class (LP, Nominees, Management + sweet equity). MoM and IRR.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D7D31"/>
                <w:sz w:val="18"/>
                <w:szCs w:val="18"/>
              </w:rPr>
              <w:t xml:space="preserve">P1</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Scenario Comparison</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Save and compare multiple acquisition sequences (e.g., with/without specific targets, different timing). Side-by-side quarterly cash flow and returns comparison. Mirrors the Investment Case vs No Sumo sheets.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ED7D31"/>
                <w:sz w:val="18"/>
                <w:szCs w:val="18"/>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WestBridge Loan Note Tracker</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Model acquisition loan notes, accrued interest (compounding at 12.5%), management loan notes, and total WestBridge interest burden quarterly. Critical for accurate equity value calculation.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D7D31"/>
                <w:sz w:val="18"/>
                <w:szCs w:val="18"/>
              </w:rPr>
              <w:t xml:space="preserve">P1</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Shortlist Integration</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One-click transfer from Short List to Acquisition Sequencer, pre-populating revenue, EBITDA, margin, and suggested multiple from the DCF/scoring data. Bi-directional sync.</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ED7D31"/>
                <w:sz w:val="18"/>
                <w:szCs w:val="18"/>
              </w:rPr>
              <w:t xml:space="preserve">P1</w:t>
            </w:r>
          </w:p>
        </w:tc>
      </w:tr>
    </w:tbl>
    <w:p>
      <w:pPr>
        <w:pStyle w:val="Heading3"/>
        <w:spacing w:after="120" w:before="200"/>
      </w:pPr>
      <w:r>
        <w:rPr>
          <w:rFonts w:ascii="Arial" w:cs="Arial" w:eastAsia="Arial" w:hAnsi="Arial"/>
          <w:b/>
          <w:bCs/>
          <w:color w:val="404040"/>
          <w:sz w:val="22"/>
          <w:szCs w:val="22"/>
        </w:rPr>
        <w:t xml:space="preserve">Phase 3: Visualisation &amp; Export (P2 — Nice to Have)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40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4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Cash Flow Waterfall Chart</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Interactive quarterly waterfall visualisation showing EBITDA to net cash flow, with acquisition events marked. Stacked bar chart of group vs acquired EBITDA contributions.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70AD47"/>
                <w:sz w:val="18"/>
                <w:szCs w:val="18"/>
              </w:rPr>
              <w:t xml:space="preserve">P2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Funding Stack Chart</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Visual representation of the funding structure over time: bank debt, deferred consideration, equity layers, with covenant lines overlaid.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70AD47"/>
                <w:sz w:val="18"/>
                <w:szCs w:val="18"/>
              </w:rPr>
              <w:t xml:space="preserve">P2</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Excel Export</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Export the full quarterly model to a formatted .xlsx file matching the structure and conventions of the existing Excel model. Enables offline sharing with investors and lenders.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70AD47"/>
                <w:sz w:val="18"/>
                <w:szCs w:val="18"/>
              </w:rPr>
              <w:t xml:space="preserve">P2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PDF Investor Pack</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Generate a branded PDF investor presentation including acquisition timeline, quarterly financials, funding analysis, and returns summary. Ready for WestBridge board packs.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70AD47"/>
                <w:sz w:val="18"/>
                <w:szCs w:val="18"/>
              </w:rPr>
              <w:t xml:space="preserve">P2</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color w:val="333333"/>
                <w:sz w:val="18"/>
                <w:szCs w:val="18"/>
              </w:rPr>
              <w:t xml:space="preserve">What-If Slider Panel</w:t>
            </w:r>
          </w:p>
        </w:tc>
        <w:tc>
          <w:tcPr>
            <w:tcW w:type="dxa" w:w="4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Interactive sliders for key assumptions (exit multiple, growth rates, margins, interest rates) with real-time model recalculation. Useful for live investor presentations.</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70AD47"/>
                <w:sz w:val="18"/>
                <w:szCs w:val="18"/>
              </w:rPr>
              <w:t xml:space="preserve">P2</w:t>
            </w:r>
          </w:p>
        </w:tc>
      </w:tr>
    </w:tbl>
    <w:p>
      <w:pPr>
        <w:pStyle w:val="Heading2"/>
        <w:spacing w:after="160" w:before="240"/>
      </w:pPr>
      <w:r>
        <w:rPr>
          <w:rFonts w:ascii="Arial" w:cs="Arial" w:eastAsia="Arial" w:hAnsi="Arial"/>
          <w:b/>
          <w:bCs/>
          <w:color w:val="2E75B6"/>
          <w:sz w:val="26"/>
          <w:szCs w:val="26"/>
        </w:rPr>
        <w:t xml:space="preserve">2.4 Proposed Data Architecture</w:t>
      </w:r>
    </w:p>
    <w:p>
      <w:pPr>
        <w:spacing w:after="120"/>
      </w:pPr>
      <w:r>
        <w:rPr>
          <w:rFonts w:ascii="Arial" w:cs="Arial" w:eastAsia="Arial" w:hAnsi="Arial"/>
          <w:color w:val="333333"/>
          <w:sz w:val="20"/>
          <w:szCs w:val="20"/>
        </w:rPr>
        <w:t xml:space="preserve">The quarterly model requires extending the existing database schema with several new entities. The core acquisition_sequence table would link shortlisted companies to a specific quarter and order position, storing the deal assumptions (multiple, fees, deferred terms). A quarterly_model_config table would hold the global assumptions panel values. The quarterly_outputs table would store computed quarterly rows for P&amp;L, cash flow, funding, and leverage, regenerated on any input change.</w:t>
      </w:r>
    </w:p>
    <w:p>
      <w:pPr>
        <w:spacing w:after="120"/>
      </w:pPr>
      <w:r>
        <w:rPr>
          <w:rFonts w:ascii="Arial" w:cs="Arial" w:eastAsia="Arial" w:hAnsi="Arial"/>
          <w:color w:val="333333"/>
          <w:sz w:val="20"/>
          <w:szCs w:val="20"/>
        </w:rPr>
        <w:t xml:space="preserve">The key relationship is: Short List companies → Acquisition Sequencer (with timing/order) → Quarterly Model Engine (computed outputs) → Returns Calculator. Each scenario would be versioned, enabling the comparison feature.</w:t>
      </w:r>
    </w:p>
    <w:p>
      <w:pPr>
        <w:pStyle w:val="Heading2"/>
        <w:spacing w:after="160" w:before="240"/>
      </w:pPr>
      <w:r>
        <w:rPr>
          <w:rFonts w:ascii="Arial" w:cs="Arial" w:eastAsia="Arial" w:hAnsi="Arial"/>
          <w:b/>
          <w:bCs/>
          <w:color w:val="2E75B6"/>
          <w:sz w:val="26"/>
          <w:szCs w:val="26"/>
        </w:rPr>
        <w:t xml:space="preserve">2.5 Quarterly Model Specification</w:t>
      </w:r>
    </w:p>
    <w:p>
      <w:pPr>
        <w:spacing w:after="120"/>
      </w:pPr>
      <w:r>
        <w:rPr>
          <w:rFonts w:ascii="Arial" w:cs="Arial" w:eastAsia="Arial" w:hAnsi="Arial"/>
          <w:color w:val="333333"/>
          <w:sz w:val="20"/>
          <w:szCs w:val="20"/>
        </w:rPr>
        <w:t xml:space="preserve">The quarterly model should replicate the Excel logic at quarterly granularity. For each quarter, the model computes:</w:t>
      </w:r>
    </w:p>
    <w:p>
      <w:pPr>
        <w:pStyle w:val="ListParagraph"/>
        <w:numPr>
          <w:ilvl w:val="0"/>
          <w:numId w:val="4"/>
        </w:numPr>
        <w:spacing w:after="80"/>
      </w:pPr>
      <w:r>
        <w:rPr>
          <w:rFonts w:ascii="Arial" w:cs="Arial" w:eastAsia="Arial" w:hAnsi="Arial"/>
          <w:sz w:val="20"/>
          <w:szCs w:val="20"/>
        </w:rPr>
        <w:t xml:space="preserve">Core revenue: prior quarter × (1 + quarterly growth rate), split by entity (LSS, JWG, S/Tec)</w:t>
      </w:r>
    </w:p>
    <w:p>
      <w:pPr>
        <w:pStyle w:val="ListParagraph"/>
        <w:numPr>
          <w:ilvl w:val="0"/>
          <w:numId w:val="4"/>
        </w:numPr>
        <w:spacing w:after="80"/>
      </w:pPr>
      <w:r>
        <w:rPr>
          <w:rFonts w:ascii="Arial" w:cs="Arial" w:eastAsia="Arial" w:hAnsi="Arial"/>
          <w:sz w:val="20"/>
          <w:szCs w:val="20"/>
        </w:rPr>
        <w:t xml:space="preserve">Acquired revenue: full annual revenue × (quarters remaining / 4) in acquisition year, then full run-rate</w:t>
      </w:r>
    </w:p>
    <w:p>
      <w:pPr>
        <w:pStyle w:val="ListParagraph"/>
        <w:numPr>
          <w:ilvl w:val="0"/>
          <w:numId w:val="4"/>
        </w:numPr>
        <w:spacing w:after="80"/>
      </w:pPr>
      <w:r>
        <w:rPr>
          <w:rFonts w:ascii="Arial" w:cs="Arial" w:eastAsia="Arial" w:hAnsi="Arial"/>
          <w:sz w:val="20"/>
          <w:szCs w:val="20"/>
        </w:rPr>
        <w:t xml:space="preserve">Gross profit: net revenue × margin (configurable per year)</w:t>
      </w:r>
    </w:p>
    <w:p>
      <w:pPr>
        <w:pStyle w:val="ListParagraph"/>
        <w:numPr>
          <w:ilvl w:val="0"/>
          <w:numId w:val="4"/>
        </w:numPr>
        <w:spacing w:after="80"/>
      </w:pPr>
      <w:r>
        <w:rPr>
          <w:rFonts w:ascii="Arial" w:cs="Arial" w:eastAsia="Arial" w:hAnsi="Arial"/>
          <w:sz w:val="20"/>
          <w:szCs w:val="20"/>
        </w:rPr>
        <w:t xml:space="preserve">Overheads: core revenue × overhead % (stepping down as group scales)</w:t>
      </w:r>
    </w:p>
    <w:p>
      <w:pPr>
        <w:pStyle w:val="ListParagraph"/>
        <w:numPr>
          <w:ilvl w:val="0"/>
          <w:numId w:val="4"/>
        </w:numPr>
        <w:spacing w:after="80"/>
      </w:pPr>
      <w:r>
        <w:rPr>
          <w:rFonts w:ascii="Arial" w:cs="Arial" w:eastAsia="Arial" w:hAnsi="Arial"/>
          <w:sz w:val="20"/>
          <w:szCs w:val="20"/>
        </w:rPr>
        <w:t xml:space="preserve">EBITDA: core + acquired + synergies (phased quarterly per the actualisation model)</w:t>
      </w:r>
    </w:p>
    <w:p>
      <w:pPr>
        <w:pStyle w:val="ListParagraph"/>
        <w:numPr>
          <w:ilvl w:val="0"/>
          <w:numId w:val="4"/>
        </w:numPr>
        <w:spacing w:after="80"/>
      </w:pPr>
      <w:r>
        <w:rPr>
          <w:rFonts w:ascii="Arial" w:cs="Arial" w:eastAsia="Arial" w:hAnsi="Arial"/>
          <w:sz w:val="20"/>
          <w:szCs w:val="20"/>
        </w:rPr>
        <w:t xml:space="preserve">Capex: revenue × 3%, split 50/50 between capital expenditure and HP</w:t>
      </w:r>
    </w:p>
    <w:p>
      <w:pPr>
        <w:pStyle w:val="ListParagraph"/>
        <w:numPr>
          <w:ilvl w:val="0"/>
          <w:numId w:val="4"/>
        </w:numPr>
        <w:spacing w:after="80"/>
      </w:pPr>
      <w:r>
        <w:rPr>
          <w:rFonts w:ascii="Arial" w:cs="Arial" w:eastAsia="Arial" w:hAnsi="Arial"/>
          <w:sz w:val="20"/>
          <w:szCs w:val="20"/>
        </w:rPr>
        <w:t xml:space="preserve">Working capital: 2 months of quarterly revenue growth</w:t>
      </w:r>
    </w:p>
    <w:p>
      <w:pPr>
        <w:pStyle w:val="ListParagraph"/>
        <w:numPr>
          <w:ilvl w:val="0"/>
          <w:numId w:val="4"/>
        </w:numPr>
        <w:spacing w:after="80"/>
      </w:pPr>
      <w:r>
        <w:rPr>
          <w:rFonts w:ascii="Arial" w:cs="Arial" w:eastAsia="Arial" w:hAnsi="Arial"/>
          <w:sz w:val="20"/>
          <w:szCs w:val="20"/>
        </w:rPr>
        <w:t xml:space="preserve">Interest: bank debt × 10.75% / 4, HP balance × 8.5% / 4, plus loan note accruals at 12.5%</w:t>
      </w:r>
    </w:p>
    <w:p>
      <w:pPr>
        <w:pStyle w:val="ListParagraph"/>
        <w:numPr>
          <w:ilvl w:val="0"/>
          <w:numId w:val="4"/>
        </w:numPr>
        <w:spacing w:after="80"/>
      </w:pPr>
      <w:r>
        <w:rPr>
          <w:rFonts w:ascii="Arial" w:cs="Arial" w:eastAsia="Arial" w:hAnsi="Arial"/>
          <w:sz w:val="20"/>
          <w:szCs w:val="20"/>
        </w:rPr>
        <w:t xml:space="preserve">Funding: in acquisition quarter, compute total cost, draw debt up to leverage limit, apply deferrals, flag equity gap</w:t>
      </w:r>
    </w:p>
    <w:p>
      <w:pPr>
        <w:pStyle w:val="ListParagraph"/>
        <w:numPr>
          <w:ilvl w:val="0"/>
          <w:numId w:val="4"/>
        </w:numPr>
        <w:spacing w:after="120"/>
      </w:pPr>
      <w:r>
        <w:rPr>
          <w:rFonts w:ascii="Arial" w:cs="Arial" w:eastAsia="Arial" w:hAnsi="Arial"/>
          <w:sz w:val="20"/>
          <w:szCs w:val="20"/>
        </w:rPr>
        <w:t xml:space="preserve">Net cash: EBITDA – capex – WC – interest – HP capital – tax – exceptionals</w:t>
      </w:r>
    </w:p>
    <w:p>
      <w:pPr>
        <w:pStyle w:val="Heading2"/>
        <w:spacing w:after="160" w:before="240"/>
      </w:pPr>
      <w:r>
        <w:rPr>
          <w:rFonts w:ascii="Arial" w:cs="Arial" w:eastAsia="Arial" w:hAnsi="Arial"/>
          <w:b/>
          <w:bCs/>
          <w:color w:val="2E75B6"/>
          <w:sz w:val="26"/>
          <w:szCs w:val="26"/>
        </w:rPr>
        <w:t xml:space="preserve">2.6 UX Concept</w:t>
      </w:r>
    </w:p>
    <w:p>
      <w:pPr>
        <w:spacing w:after="120"/>
      </w:pPr>
      <w:r>
        <w:rPr>
          <w:rFonts w:ascii="Arial" w:cs="Arial" w:eastAsia="Arial" w:hAnsi="Arial"/>
          <w:color w:val="333333"/>
          <w:sz w:val="20"/>
          <w:szCs w:val="20"/>
        </w:rPr>
        <w:t xml:space="preserve">The Acquisition Model tab would be structured in three horizontal panels:</w:t>
      </w:r>
    </w:p>
    <w:p>
      <w:pPr>
        <w:pStyle w:val="ListParagraph"/>
        <w:numPr>
          <w:ilvl w:val="0"/>
          <w:numId w:val="5"/>
        </w:numPr>
        <w:spacing w:after="80"/>
      </w:pPr>
      <w:r>
        <w:rPr>
          <w:rFonts w:ascii="Arial" w:cs="Arial" w:eastAsia="Arial" w:hAnsi="Arial"/>
          <w:b/>
          <w:bCs/>
          <w:sz w:val="20"/>
          <w:szCs w:val="20"/>
        </w:rPr>
        <w:t xml:space="preserve">Top: Acquisition Sequencer </w:t>
      </w:r>
      <w:r>
        <w:rPr>
          <w:rFonts w:ascii="Arial" w:cs="Arial" w:eastAsia="Arial" w:hAnsi="Arial"/>
          <w:sz w:val="20"/>
          <w:szCs w:val="20"/>
        </w:rPr>
        <w:t xml:space="preserve">— a Kanban-style board with columns for each quarter. Users drag company cards from the Short List sidebar into quarters. Each card shows company name, EBITDA, revenue, and colour-coded status.</w:t>
      </w:r>
    </w:p>
    <w:p>
      <w:pPr>
        <w:pStyle w:val="ListParagraph"/>
        <w:numPr>
          <w:ilvl w:val="0"/>
          <w:numId w:val="5"/>
        </w:numPr>
        <w:spacing w:after="80"/>
      </w:pPr>
      <w:r>
        <w:rPr>
          <w:rFonts w:ascii="Arial" w:cs="Arial" w:eastAsia="Arial" w:hAnsi="Arial"/>
          <w:b/>
          <w:bCs/>
          <w:sz w:val="20"/>
          <w:szCs w:val="20"/>
        </w:rPr>
        <w:t xml:space="preserve">Middle: Quarterly Model Output </w:t>
      </w:r>
      <w:r>
        <w:rPr>
          <w:rFonts w:ascii="Arial" w:cs="Arial" w:eastAsia="Arial" w:hAnsi="Arial"/>
          <w:sz w:val="20"/>
          <w:szCs w:val="20"/>
        </w:rPr>
        <w:t xml:space="preserve">— a scrollable table with quarterly columns showing P&amp;L, cash flow, funding, and leverage. Key metrics highlighted: EBITDA, net cash, leverage ratio, debt headroom.</w:t>
      </w:r>
    </w:p>
    <w:p>
      <w:pPr>
        <w:pStyle w:val="ListParagraph"/>
        <w:numPr>
          <w:ilvl w:val="0"/>
          <w:numId w:val="5"/>
        </w:numPr>
        <w:spacing w:after="120"/>
      </w:pPr>
      <w:r>
        <w:rPr>
          <w:rFonts w:ascii="Arial" w:cs="Arial" w:eastAsia="Arial" w:hAnsi="Arial"/>
          <w:b/>
          <w:bCs/>
          <w:sz w:val="20"/>
          <w:szCs w:val="20"/>
        </w:rPr>
        <w:t xml:space="preserve">Bottom: Summary Dashboard </w:t>
      </w:r>
      <w:r>
        <w:rPr>
          <w:rFonts w:ascii="Arial" w:cs="Arial" w:eastAsia="Arial" w:hAnsi="Arial"/>
          <w:sz w:val="20"/>
          <w:szCs w:val="20"/>
        </w:rPr>
        <w:t xml:space="preserve">— KPI cards (total EBITDA at exit, leverage at exit, total funding, equity required, MoM return) plus a cash flow waterfall chart and funding stack visualisation.</w:t>
      </w:r>
    </w:p>
    <w:p>
      <w:pPr>
        <w:pStyle w:val="Heading2"/>
        <w:spacing w:after="160" w:before="240"/>
      </w:pPr>
      <w:r>
        <w:rPr>
          <w:rFonts w:ascii="Arial" w:cs="Arial" w:eastAsia="Arial" w:hAnsi="Arial"/>
          <w:b/>
          <w:bCs/>
          <w:color w:val="2E75B6"/>
          <w:sz w:val="26"/>
          <w:szCs w:val="26"/>
        </w:rPr>
        <w:t xml:space="preserve">2.7 Implementation Roadmap</w:t>
      </w:r>
    </w:p>
    <w:p>
      <w:pPr>
        <w:pStyle w:val="ListParagraph"/>
        <w:numPr>
          <w:ilvl w:val="0"/>
          <w:numId w:val="6"/>
        </w:numPr>
        <w:spacing w:after="80"/>
      </w:pPr>
      <w:r>
        <w:rPr>
          <w:rFonts w:ascii="Arial" w:cs="Arial" w:eastAsia="Arial" w:hAnsi="Arial"/>
          <w:b/>
          <w:bCs/>
          <w:sz w:val="20"/>
          <w:szCs w:val="20"/>
        </w:rPr>
        <w:t xml:space="preserve">Sprint 1–2 (Weeks 1–4): </w:t>
      </w:r>
      <w:r>
        <w:rPr>
          <w:rFonts w:ascii="Arial" w:cs="Arial" w:eastAsia="Arial" w:hAnsi="Arial"/>
          <w:sz w:val="20"/>
          <w:szCs w:val="20"/>
        </w:rPr>
        <w:t xml:space="preserve">Database schema extension, API endpoints for acquisition sequencing, quarterly model computation engine (server-side). Core P&amp;L and cash flow calculations.</w:t>
      </w:r>
    </w:p>
    <w:p>
      <w:pPr>
        <w:pStyle w:val="ListParagraph"/>
        <w:numPr>
          <w:ilvl w:val="0"/>
          <w:numId w:val="6"/>
        </w:numPr>
        <w:spacing w:after="80"/>
      </w:pPr>
      <w:r>
        <w:rPr>
          <w:rFonts w:ascii="Arial" w:cs="Arial" w:eastAsia="Arial" w:hAnsi="Arial"/>
          <w:b/>
          <w:bCs/>
          <w:sz w:val="20"/>
          <w:szCs w:val="20"/>
        </w:rPr>
        <w:t xml:space="preserve">Sprint 3–4 (Weeks 5–8): </w:t>
      </w:r>
      <w:r>
        <w:rPr>
          <w:rFonts w:ascii="Arial" w:cs="Arial" w:eastAsia="Arial" w:hAnsi="Arial"/>
          <w:sz w:val="20"/>
          <w:szCs w:val="20"/>
        </w:rPr>
        <w:t xml:space="preserve">Acquisition Sequencer UI (drag-and-drop), assumptions panel, quarterly output table rendering. Funding engine with leverage constraints.</w:t>
      </w:r>
    </w:p>
    <w:p>
      <w:pPr>
        <w:pStyle w:val="ListParagraph"/>
        <w:numPr>
          <w:ilvl w:val="0"/>
          <w:numId w:val="6"/>
        </w:numPr>
        <w:spacing w:after="80"/>
      </w:pPr>
      <w:r>
        <w:rPr>
          <w:rFonts w:ascii="Arial" w:cs="Arial" w:eastAsia="Arial" w:hAnsi="Arial"/>
          <w:b/>
          <w:bCs/>
          <w:sz w:val="20"/>
          <w:szCs w:val="20"/>
        </w:rPr>
        <w:t xml:space="preserve">Sprint 5–6 (Weeks 9–12): </w:t>
      </w:r>
      <w:r>
        <w:rPr>
          <w:rFonts w:ascii="Arial" w:cs="Arial" w:eastAsia="Arial" w:hAnsi="Arial"/>
          <w:sz w:val="20"/>
          <w:szCs w:val="20"/>
        </w:rPr>
        <w:t xml:space="preserve">Synergy model, investor returns calculator, WestBridge loan note tracker. Scenario save/compare.</w:t>
      </w:r>
    </w:p>
    <w:p>
      <w:pPr>
        <w:pStyle w:val="ListParagraph"/>
        <w:numPr>
          <w:ilvl w:val="0"/>
          <w:numId w:val="6"/>
        </w:numPr>
        <w:spacing w:after="120"/>
      </w:pPr>
      <w:r>
        <w:rPr>
          <w:rFonts w:ascii="Arial" w:cs="Arial" w:eastAsia="Arial" w:hAnsi="Arial"/>
          <w:b/>
          <w:bCs/>
          <w:sz w:val="20"/>
          <w:szCs w:val="20"/>
        </w:rPr>
        <w:t xml:space="preserve">Sprint 7–8 (Weeks 13–16): </w:t>
      </w:r>
      <w:r>
        <w:rPr>
          <w:rFonts w:ascii="Arial" w:cs="Arial" w:eastAsia="Arial" w:hAnsi="Arial"/>
          <w:sz w:val="20"/>
          <w:szCs w:val="20"/>
        </w:rPr>
        <w:t xml:space="preserve">Visualisations (waterfall, funding stack), Excel/PDF export, what-if sliders, polish and investor testing.</w:t>
      </w:r>
    </w:p>
    <w:p>
      <w:pPr>
        <w:pStyle w:val="Heading2"/>
        <w:spacing w:after="160" w:before="240"/>
      </w:pPr>
      <w:r>
        <w:rPr>
          <w:rFonts w:ascii="Arial" w:cs="Arial" w:eastAsia="Arial" w:hAnsi="Arial"/>
          <w:b/>
          <w:bCs/>
          <w:color w:val="2E75B6"/>
          <w:sz w:val="26"/>
          <w:szCs w:val="26"/>
        </w:rPr>
        <w:t xml:space="preserve">2.8 Key Risks &amp; Mitigations</w:t>
      </w:r>
    </w:p>
    <w:p>
      <w:pPr>
        <w:pStyle w:val="ListParagraph"/>
        <w:numPr>
          <w:ilvl w:val="0"/>
          <w:numId w:val="7"/>
        </w:numPr>
        <w:spacing w:after="80"/>
      </w:pPr>
      <w:r>
        <w:rPr>
          <w:rFonts w:ascii="Arial" w:cs="Arial" w:eastAsia="Arial" w:hAnsi="Arial"/>
          <w:b/>
          <w:bCs/>
          <w:sz w:val="20"/>
          <w:szCs w:val="20"/>
        </w:rPr>
        <w:t xml:space="preserve">Computational complexity: </w:t>
      </w:r>
      <w:r>
        <w:rPr>
          <w:rFonts w:ascii="Arial" w:cs="Arial" w:eastAsia="Arial" w:hAnsi="Arial"/>
          <w:sz w:val="20"/>
          <w:szCs w:val="20"/>
        </w:rPr>
        <w:t xml:space="preserve">Quarterly model with 8 acquisitions creates 128+ quarterly data points. Mitigate with server-side computation and efficient caching; only recompute from the changed quarter forward.</w:t>
      </w:r>
    </w:p>
    <w:p>
      <w:pPr>
        <w:pStyle w:val="ListParagraph"/>
        <w:numPr>
          <w:ilvl w:val="0"/>
          <w:numId w:val="7"/>
        </w:numPr>
        <w:spacing w:after="80"/>
      </w:pPr>
      <w:r>
        <w:rPr>
          <w:rFonts w:ascii="Arial" w:cs="Arial" w:eastAsia="Arial" w:hAnsi="Arial"/>
          <w:b/>
          <w:bCs/>
          <w:sz w:val="20"/>
          <w:szCs w:val="20"/>
        </w:rPr>
        <w:t xml:space="preserve">Data integrity: </w:t>
      </w:r>
      <w:r>
        <w:rPr>
          <w:rFonts w:ascii="Arial" w:cs="Arial" w:eastAsia="Arial" w:hAnsi="Arial"/>
          <w:sz w:val="20"/>
          <w:szCs w:val="20"/>
        </w:rPr>
        <w:t xml:space="preserve">Shortlist data (revenue, EBITDA) may change during due diligence. Ensure the model uses snapshot values at time of sequencing, with ability to manually override.</w:t>
      </w:r>
    </w:p>
    <w:p>
      <w:pPr>
        <w:pStyle w:val="ListParagraph"/>
        <w:numPr>
          <w:ilvl w:val="0"/>
          <w:numId w:val="7"/>
        </w:numPr>
        <w:spacing w:after="80"/>
      </w:pPr>
      <w:r>
        <w:rPr>
          <w:rFonts w:ascii="Arial" w:cs="Arial" w:eastAsia="Arial" w:hAnsi="Arial"/>
          <w:b/>
          <w:bCs/>
          <w:sz w:val="20"/>
          <w:szCs w:val="20"/>
        </w:rPr>
        <w:t xml:space="preserve">Excel parity: </w:t>
      </w:r>
      <w:r>
        <w:rPr>
          <w:rFonts w:ascii="Arial" w:cs="Arial" w:eastAsia="Arial" w:hAnsi="Arial"/>
          <w:sz w:val="20"/>
          <w:szCs w:val="20"/>
        </w:rPr>
        <w:t xml:space="preserve">Investors will compare online model to existing Excel. Build a validation mode that reconciles quarterly outputs to the annual Excel figures for the same inputs.</w:t>
      </w:r>
    </w:p>
    <w:p>
      <w:pPr>
        <w:pStyle w:val="ListParagraph"/>
        <w:numPr>
          <w:ilvl w:val="0"/>
          <w:numId w:val="7"/>
        </w:numPr>
        <w:spacing w:after="120"/>
      </w:pPr>
      <w:r>
        <w:rPr>
          <w:rFonts w:ascii="Arial" w:cs="Arial" w:eastAsia="Arial" w:hAnsi="Arial"/>
          <w:b/>
          <w:bCs/>
          <w:sz w:val="20"/>
          <w:szCs w:val="20"/>
        </w:rPr>
        <w:t xml:space="preserve">Covenant complexity: </w:t>
      </w:r>
      <w:r>
        <w:rPr>
          <w:rFonts w:ascii="Arial" w:cs="Arial" w:eastAsia="Arial" w:hAnsi="Arial"/>
          <w:sz w:val="20"/>
          <w:szCs w:val="20"/>
        </w:rPr>
        <w:t xml:space="preserve">LTM EBITDA calculation quarterly requires rolling 4-quarter lookback. Ensure the leverage test uses the correct trailing window, not annualised single-quarter EBITDA.</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6"/>
        <w:szCs w:val="16"/>
      </w:rPr>
      <w:t xml:space="preserve">Survey Solutions — M&amp;A Model Interpretation &amp; Feature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7"/>
    <w:lvlOverride w:ilvl="0">
      <w:startOverride w:val="1"/>
    </w:lvlOverride>
  </w:num>
  <w:num w:numId="6">
    <w:abstractNumId w:val="4"/>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2026-03-04T13:44:46.059Z</dcterms:created>
  <dcterms:modified xsi:type="dcterms:W3CDTF">2026-03-04T13:44:46.059Z</dcterms:modified>
</cp:coreProperties>
</file>

<file path=docProps/custom.xml><?xml version="1.0" encoding="utf-8"?>
<Properties xmlns="http://schemas.openxmlformats.org/officeDocument/2006/custom-properties" xmlns:vt="http://schemas.openxmlformats.org/officeDocument/2006/docPropsVTypes"/>
</file>