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content showcases various marketing campaigns and brand initiatives for different whiskey brands, highlighting their creative strategies and results.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**Jägermeister's Halloween Campaign**: Focused on engaging Halloween revelers with a shot of Jägermeister, using prominent communications, glorifiers, and a sweepstakes through Shazam. Sampling vans and influencers were also part of the campaign.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**WhistlePig Whiskey's 10-Year Anniversary**: Celebrated with a pig-shaped bottle inspired by the prohibition-era Berkshire Pig, promoting their mission of being the best whiskey on and for the planet. The campaign included auctions for charity and resulted in increased brand awareness and value.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**WhistlePig's Solar Powered Whiskey**: Launched a solar-powered whiskey called Summerstock, in collaboration with Pit Viper, to celebrate their 100% solar power achievement. The campaign included Summerstock Games and donations to Everybody Solar.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**The Boss Hog X: The Commandments**: Aimed to create a revered whiskey experience with innovative packaging that included a revolving door and intricate design elements. The campaign received praise for its creativity and presentation.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**Camp Whistlepig**: A collaboration with Solo Stove to create a limited edition CampStock Wheat Whiskey, accompanied by a glamping event and consumer engagement through e-commerce bundles.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 **Limavady Whiskey's Rebranding**: Focused on revitalizing the brand with a bold new identity, inspired by the legend of the Irish Wolfhound. The campaign aimed to make whiskey more approachable and inclusive, with a strong emphasis on storytelling and brand positioning.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