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is a B Corp certified social innovation brand activation and design agency founded by Phil White and Heidi Schoeneck in 2018. The agency focuses on helping brands, retailers, nonprofits, and startup social enterprises articulate their purpose, activate their brands, and accelerate their impact, particularly in retail. Grounded offers services in brand strategy, advertising, design, and marketing, with a commitment to sustainability and social impact. They refuse to work with industries that prioritize profit over purpose, people, and the planet.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Grounded's services are divided into three pillars: Articulate, Activate, and Accelerate. They provide landscape assessments, brand identity development, content creation, brand activation, and e-commerce thought leadership. The agency donates 5.2% of its gross revenues to nonprofits and offers discounts to nonprofit clients.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their notable projects include innovative packaging and campaigns for WhistlePig Whiskey and Brita. For WhistlePig, they created a pig-shaped bottle for their 10-year anniversary and a solar-powered whiskey campaign. For Brita, they designed an infinitely recyclable aluminum bottle to reduce plastic waste.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emphasizes collaboration with nonprofits and social enterprises, investing in startups, and making their clients the CEOs of their projects. The agency is recognized for its creative and impactful work, with both founders being named among the top 100 social impact professionals globally.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