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content outlines a campaign strategy for Ford to shift its perception from a manufacturing company to a technology company, emphasizing its role in reimagining mobility for future cities. The campaign aims to attract global talent by highlighting Ford's purpose-driven innovation, particularly in electric and self-driving vehicles. The strategy includes targeted out-of-home and social campaigns, real testimonials, and a website inviting candidates to apply for positions at Ford. Interviews are conducted using AR and VR to immerse candidates in the "city of tomorrow." The deliverables include leadership interviews, brand purpose and strategy, employer value proposition, campaign assets, employee engagement materials, and a digital toolkit. The overarching message is to invite candidates to help build a smarter, safer, and more sustainable world.</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