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Fresh Air Fund, a nonprofit established in 1877, sought to remain relevant to modern children, families, and donors. The organization aimed to highlight the transformative impact of summer experiences for underserved NYC children, emphasizing how a single summer can unlock limitless potential. To achieve this, they refreshed their brand to be authentic and targeted, helping kids see the fun, parents see the potential, and donors see the impact. This involved reframing their beliefs, updating their brand identity, and creating targeted communications for digital and social platforms. The campaign included securing music rights from the Frank Sinatra Estate, increasing camp applications, exceeding donation goals, and setting up a robust online presence. The results included stakeholder interviews, donor workshops, campaign assets, and ongoing social and print advertising efforts.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