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a proposal from Grounded, a B Corp certified social innovation and brand activation agency, to Mars Wrigley North America. Grounded specializes in translating global sustainability strategies into impactful brand activations. They have experience working with major brands like Unilever, Nestle, and Ford, and have expertise in climate, sustainable packaging, and agricultural supply chains.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proposal outlines Grounded's approach to the Mars Wrigley project, which includes four key phases: Discover, Articulate, Activate, and Accelerate. Each phase has specific deliverables, such as landscape assessments, sustainability benchmarking, brand purpose articulation, and retail activation workshops. The proposal also includes case studies of past projects with companies like iDesign, Grove Co., and Nespresso, showcasing Grounded's ability to drive sustainability and social impact.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emphasizes their commitment to social responsibility, with a portion of their revenue dedicated to nonprofits and a focus on clean creative movements. The proposal includes a detailed timeline, pricing, and a team introduction, highlighting the expertise of their co-founders and key team members. The document concludes with additional case studies related to nourishing well-being, healthy planet initiatives, and transforming packaging.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