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outlines several campaigns and initiatives aimed at promoting sustainability, social awareness, and brand innovation across different industries.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**Keep in the Loop with LYCRA®**: This campaign by The LYCRA Company focuses on promoting circularity in the apparel industry. It involves collaboration, education, and innovation to reduce waste and extend the life of fibers. Key achievements include launching Thermolite Insulation from 100% textile waste and collaborating with QORE® for bio-derived fibers.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**Tribes on the Edge**: A campaign centered around Céline Cousteau's documentary about the Amazon rainforest and its indigenous people. It aimed to raise awareness and inspire action by connecting American audiences to the Amazon's plight. The campaign included city tours, screenings, and partnerships with organizations like the United Nations, raising significant grassroots donations.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**WhistlePig Whiskey**: To celebrate their 10th anniversary, WhistlePig released a limited edition whiskey in a pig-shaped bottle, inspired by prohibition-era design. The campaign generated brand awareness, social engagement, and charity donations, with the bottles becoming instant collector's items.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**Girls Vs Stereotypes**: Plan International USA partnered with Unsplash to change how girls are represented in media. The campaign involved adolescent girls creating a brief for photographers to submit images that better represent them. The initiative aimed to challenge stereotypes and change perceptions, resulting in significant social media engagement and donations.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campaign involved strategic partnerships, stakeholder engagement, and innovative approaches to address specific social or environmental issues.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