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is a B Corp certified, social innovation and brand activation agency that operates at the intersection of brand experience, commercial strategy, and social impact. They work with brands, retailers, nonprofits, and startup social enterprises globally to articulate their purpose, activate their brands, and accelerate their impact. Grounded is a small, independent boutique agency with a senior, experienced team of 10, offering global enterprise-level strategy and award-winning creative solutions. They focus on sustainability, with zero revenue from fossil fuel-based or high carbon industries, and are part of the clean creatives movement. Grounded offers discounts to nonprofits and aims to donate a percentage of gross revenue to them annually. Their approach involves discovering cultural and competitive landscapes, articulating brand purpose, activating behavior change, and accelerating impact through collaboration and partnerships. They have a track record of successful campaigns and partnerships, such as with the United Nations and Plan International USA, and offer services like brand identity, sustainability strategy, and campaign activation. Grounded's work has been recognized with awards and accolades, and they have a unique approach to projects, including using AI-driven tools and ethnographic research.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