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describes OneSight's initiative to provide affordable eye care to everyone, addressing the issue of poor vision that affects 1 in 3 people globally. OneSight aimed to clarify their mission to leverage their organization and make vision care accessible, especially to the 90% who lack it. Through workshops, analysis, and stakeholder interviews, they developed their Belief, Purpose, and Pursuits (BPP) to connect their mission with their organization. They mapped the donor journey, ideated creative platforms for retail testing, and handed concepts to their in-house agency for development. Their manifesto is to unlock human potential by ensuring everyone can see clearly, emphasizing that access to glasses should not hinder achievement. The project involved stakeholder interviews, consumer journey mapping, a go-to-market strategy, corporate partner fundraising, retail activation concepts, and social campaigns.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