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"Girls Vs The Machine" campaign, initiated by Plan International USA, aims to combat gender inequality by changing how girls are represented in media. The campaign addresses the issue of biased image tagging on image banks, which perpetuates stereotypes. Plan USA collaborated with Unsplash to reframe the portrayal of girls by allowing adolescent girls to create a brief for more representative images. Photographers worldwide submitted over 300 photos, and Unsplash adjusted its algorithm to reflect the girls' perspectives. The top 10 images, chosen by the girls, were promoted online, encouraging supporters to share and use these images. The campaign also invited people to join the #WeAreTheGirls initiative and garnered significant attention, including promotion by iHeart Radio and singer JAX. The campaign successfully generated over $500k in donations and engaged corporate partners. Key deliverables included stakeholder interviews, landscape assessments, brand positioning, research studies, social listening, identity design, campaign guidelines, and strategies for market entry and fundraising.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