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describes a campaign called "Your choice gives girls a choice," initiated by human rights activist Mabel van Oranje to address the issue of child marriage by engaging the wedding industry. The campaign, launched on a major wedding proposal day, aimed to make Vow for Girls the charity of choice within the industry. It highlighted the freedom of choice in weddings, contrasting it with the lack of choice for millions of girls forced into marriage annually. The campaign included social media polls, a landing page for pledges, industry promotion, exclusive merchandise, and a celebrity wedding event at the NY Wedding Expo. The campaign achieved significant engagement, with hundreds of pledges, nearly 100k impressions, and strong media coverage. It also included various tools and resources like a social toolkit, website landing page, and donor decks to support the cause.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