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WhistlePig celebrated achieving 100% solar power by launching a new solar-powered whiskey called Summerstock Whiskey, in collaboration with Pit Viper. The initiative aimed to bring whiskey out of dark bars and into the sun, promoting a fun and eco-friendly approach. The whiskey was crafted using solar power and aged in sun-toasted barrels. The launch included the Summerstock Games, featuring unique summer activities and an 80ft bike jump. Influencers promoted the whiskey with social content and exclusive bundles, with $10 from each sale donated to Everybody Solar, a nonprofit supporting solar energy transitions. The campaign ranked #12 in Best Spirit Releases of 2023, generated $30k in donations, and was WhistlePig's highest-performing social campaign. The project included package design, activation ideas, nonprofit partnerships, and digital toolkits.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