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Creative Impact Agency Case Studies | Grounded World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Articulate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Sustainability Marketing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Impact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Activism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 Branding and Marketing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Nonprofit Branding and Marketing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Page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Creative Impact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an award-winning creative impact agency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our reel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means we use the power of ideas to change the world. That’s what a creative impact agency does. And with over 20 industry awards, we’ve gotten pretty good at it! We help startups, nonprofits and big brands unlock their mission and inspire action — turning consumers into co-conspirators.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first and foremost we are behavior changers. We inspire people to buy the brands that make a difference, live more sustainably, donate to important causes or stand up for those in need. That’s the power of creativity. To imagine a better world. And we’re hellbent on creating one.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our reel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Grounded with us!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work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Featured Case Studies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Helping girls fight stereotypes - one photo at a time Read More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a documentary to help protect the tribes of the Amazon Read More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Kicking off a new decade of WhistlePig Whiskey tail first Read More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Using one little fiber to help change the fashion industry Read More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of Our Work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the tags to view the most relevant video case studies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Sustainability Marketing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Impact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Activation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Activism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Nonprofit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Purpose, Nonprofit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Sustainability Marketing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Sustainability Marketing, Activating Brand Purpose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Sustainability Marketing, Startups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Impact, Digital Activation, Brand Activism, Nonprofit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Activation, Brand Activism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Purpose, Nonprofit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Activation, Nonprofit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Impact, Brand Activism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Sustainability Marketing, Activating Brand Purpose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Activation, Brand Activism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Purpose, Nonprofit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Activating Brand Purpose, Digital Activation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Impact, Brand Activism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Impact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Nonprofit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Activism, Nonprofit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“Once you free yourself from the need for perfect acceptance, it’s a lot easier to launch work that matters.” – Seth Godin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time to get grounded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Blogsnewsletter sign up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 &amp; GDPR policyterms &amp; conditions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