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Driving behavior change and intent at the moments that matter for colleagues, customers and consumers.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identity, packaging &amp; design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Campaigns, events, experiences and key stakeholder engagement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Retail activation (selling stories customer Journeys, omnichannel toolkits, loyalty marketing and tactical plans)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quite right… need to do something else?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most relevant tag to reveal the roadmap. You can expand each of the four phases to see each step. You may not need all of them…but at least you can see the full picture.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our brand or company purpose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Reposition our brand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 donors,investors, influencers &amp; stakeholders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 ESG, purpose or sustainability into our organization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and facilitate the best partnerships to drive commercial impact and collaboration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 CSR strategy, platform , program or initiative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&amp; measure our impact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