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Assessing culture and the competitive landscape to find the intention-action gaps.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Culture, category, competitor and consumer landscape assessments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Intent-to-action gap research and analysis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growth drivers &amp; go to market strategy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quite right… need to do something else?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most relevant tag to reveal the roadmap. You can expand each of the four phases to see each step. You may not need all of them…but at least you can see the full picture.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our brand or company 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brand identity, sustainable packaging or website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Reposition our brand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brand purpose and sustainability to generate consumer demand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donors,investors, influencers &amp; stakeholders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Co-create commercial innovation or a brand activation campaign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ESG, purpose or sustainability into our organization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and facilitate the best partnerships to drive commercial impact and collaboration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CSR strategy, platform , program or initiative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&amp; measure our impact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