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Grounded.World emphasizes the importance of sustainability and impact measurement by offering services in sustainability and impact reporting, fostering commercial and non-profit partnerships, and facilitating collaboration through training, action labs, design sprints, and thought leadership. Their aim is to redefine company or brand purpose, create sustainable brand identities, reposition brands, activate sustainability strategies to generate consumer demand, engage stakeholders, co-create commercial innovations, embed ESG principles, and track and measure impact across organizations. They offer a comprehensive approach to integrate and enhance sustainability initiatives within businesses.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