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Business of Fashion covers several key issues related to sustainable fashion. A major focus is the fashion industry's heavy reliance on polyester, which contributes to its environmental footprint, and the stalled efforts to switch to recycled fibers. There's also an emphasis on the need for collective action within the fragmented fashion industry to meet decarbonisation targets. Additionally, challenges such as luxury brands being linked to labor exploitation, the impact of geopolitical disruptions on textile recycling, and pressures faced by creatives in the fashion sector are highlighted. Initiatives like London Fashion Week banning exotic skins and legislative moves like California's textile recycling bill reflect ongoing efforts to address sustainability and ethical concerns.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