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Cascale, formerly known as SAC, is a global association focused on advancing sustainability in the consumer goods industry, particularly in apparel, footwear, and textiles. It brings together various stakeholders, including brands, retailers, manufacturers, and NGOs, to collaborate on reducing environmental and social impacts. Cascale offers tools like the Higg Index to help members track and enhance their sustainability performance. The organization hosts events and forums to facilitate knowledge exchange and advocates for industry-wide sustainability initiatives. Recent highlights include engagement in policy discussions and collaborative efforts to address greenhouse gas emissions in the garment sector.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