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Grounded.World offers a structured approach to assessing culture, consumer, and competitive landscapes to identify gaps between intention and action. They provide services ranging from defining brand purpose, creating sustainable brand identities, activating brand purpose to generate demand, embedding ESG strategies, co-creating innovation or campaigns, developing CSR initiatives, and tracking impact. Their focus is on facilitating impactful partnerships and constructing strategies that align with sustainability and commercial growth drivers.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