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"Fashion ReModel" is an initiative aimed at transforming the fashion industry towards a circular economy. It involves leading brands to develop and scale circular business models, which seek to decouple revenue from traditional production methods. The initiative highlights the potential of rental, repair, resale, and remaking as key strategies to keep products in use and reduce waste. By promoting these models, the Fashion ReModel seeks to establish a system where fashion companies can generate diverse income streams and engage with customers in new ways, ultimately contributing to a more sustainable industry.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