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Fashion ReModel project by the Ellen MacArthur Foundation aims to transform the fashion industry from a take-make-waste model to a circular economy. This involves decoupling revenue from production and resource use through circular business models such as repair, rental, resale, and remaking. By focusing on product design, these models extend the life of clothing and minimize waste, helping to regenerate nature and reduce pollution. The initiative seeks to make these practices mainstream, creating resilient, diverse income streams for businesses and fostering sustainable consumer habits.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