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trends in sustainable fashion indicate a strong focus on reducing the environmental impact of the textile industry. Key developments include the European Union's upcoming green regulations, efforts to manage textile wastewater through closed-loop systems, and initiatives like the Congressional Slow Fashion Caucus to promote climate-smart policies. Companies like Lectra and partnerships such as Reju and NFT are leveraging technology and circular ecosystems to further sustainability. Inditex faces scrutiny over increased air freight, while Puma engages Gen Z through sustainability-focused podcasts. Researchers at Heriot-Watt University are addressing microplastic pollution, and luxury brands like Kering are setting environmental conservation benchmarks.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