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Global Circular Fashion Forum (GCFF), initiated by Global Fashion Agenda, collaborates with stakeholders like Reverse Resources and Circle Economy, funded by H&amp;M Foundation, to promote recycling of post-industrial textile waste in countries like Indonesia, Cambodia, Vietnam, and Bangladesh. The initiative focuses on creating Circular Fashion Partnerships, aligning with local government strategies to scale recycling efforts. Notable developments include the Circular Fashion Partnership in Indonesia, the conclusion of a recycling project phase in Cambodia, ongoing efforts in Vietnam, and resilience in Bangladesh despite challenges. The forum aims to involve broad industry participation and enhance transparency and data collection in recycling practices.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