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Shein, a major player in fast fashion, became the industry's biggest polluter in 2023, doubling its carbon dioxide emissions. The company's use of AI to predict customer demand and speed up production has raised concerns about its environmental impact. AI technologies support Shein's ultra-fast supply chain by tracking trends and reducing waste, yet contribute to its emissions-heavy model. Environmental advocates argue that Shein's business practices, including air shipping and reliance on polyester, amplify its carbon footprint. Despite pledges to reduce emissions, Shein's actions and reliance on AI present challenges to achieving sustainability.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