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 World emphasizes the importance of aligning brand purpose with sustainable practices in retail to close the intention-action gap among consumers. Key insights include the importance of integrating brand's higher-order societal value beyond profit, understanding the consumer's journey to identify and address barriers to sustainable purchasing, and fostering collaborative relationships between brands and retailers. The agency highlights a framework for co-creating activation ideas that intersect brand purpose, consumer needs, and world demands, aiming for a positive impact on people, planet, and profit. A guidebook with principles and case studies supports these strategies.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