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Grounded World emphasizes the importance of brand activism, where businesses take a stand on pressing social, political, economic, or environmental issues to drive positive change. This approach attracts consumers whose values align with these brands, elevating purchases to moral expressions. The article highlights The Body Shop's pioneering role in brand activism and warns against "brand re-activism," where companies jump onto trending issues without genuine commitment. Authentic brand activism requires a longstanding dedication to causes larger than profit, exemplified by brands like Ben &amp; Jerry’s. Companies are encouraged to align their core values with authentic activism efforts, starting with understanding their brand's unique purpose and connecting it to global needs.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