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brand marketing agency that specializes in activating brand purpose, sustainability marketing, and social impact. Their services are structured into four phases: Discover, Articulate, Activate, and Accelerate. They focus on closing the intention-action gap to drive behavior change and generate commercial impact. Grounded World helps clients assess the competitive and cultural landscape, articulate their brand's sustainability story, activate meaningful consumer engagement, and accelerate impact through partnerships and collaborations. Their approach is flexible, offering tools like design sprints, stakeholder research, and performance tracking to facilitate brand goals.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