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brand marketing agency focused on activating brand purpose and sustainability. They offer services across four phases: Discover, Articulate, Activate, and Accelerate. These services aim to close the intention-action gap by assessing culture and competition, defining brand purpose, and driving behavior change and impact. The agency uses a transparent process with manageable budgets and clear timelines. Their services include sustainability strategy, storytelling, brand identity, campaign activation, and impact reporting. They engage with businesses to facilitate sustainable growth and collaborate on corporate social responsibility initiatives.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