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social impact marketing agency that blends traditional marketing expertise with a focus on positive social impact, helping brands integrate Corporate Social Responsibility into their core mission. The agency assists in developing strategies that balance purpose and profit, with the aim of addressing social, environmental, and cultural issues. It emphasizes the importance of measuring social impact beyond basic brand interactions, using methods such as logic models and public sector metrics. Grounded World values innovation, cross-sector collaboration, digital capabilities, and partnerships with like-minded organizations. The agency begins client engagements with a landscape assessment and strategically activates brand purpose through various channels to achieve measurable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