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emphasizes activating brand purpose and sustainability across various sectors including retail, social enterprises, and nonprofits. Their thought leadership articles cover topics like plastic pollution, sustainability marketing, brand activism, and social impact. They provide insights into bridging the intention-action gap in sustainable behavior and highlight effective brand campaigns. The platform also offers resources on how to implement brand purpose, promote sustainability, and engage in impactful social campaigns.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