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Spain's leading fashion retailers, including major brands like Inditex, H&amp;M, Ikea, and Primark, are launching a textile waste collection pilot project named Re-viste in 2025. This initiative comes ahead of anticipated EU regulations on textile waste, set to be enforced in 2026. The project aims to address Spain's challenges with textile waste, where only 12% of used clothing is currently collected separately. With Spain averaging 20 kilos of clothing discarded per person annually, the Re-viste project seeks to improve waste management through separate collection and recycling of textiles. The initiative reflects the fashion industry's proactive approach to sustainability and ESG goals, while preparing for future regulatory requirements in the EU.</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