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article provides a comprehensive guide to the best sustainable clothing brands to shop in 2024, highlighting labels that are making significant strides in eco-friendly and ethical fashion. Some key brands include Nudie Jeans, which uses certified organic cotton, and Nobody’s Child, known for using reduced-impact materials like organic cotton and recycled polyester. Other notable mentions are Organic Basics, Everlane, and Reformation, which all emphasize using low-impact materials and sustainable sourcing practices. Luxury brands like Stella McCartney and Ganni are noted for innovative approaches to sustainable materials. Additionally, brands like Patagonia and House of Sunny focus on long-lasting, timeless pieces to combat fast fashion. The article encourages a sustainable mindset, promoting second-hand shopping and supporting brands with transparent, ethical production practices. It also covers sustainable shoe brands like Veja and Alohas, and sustainable swimwear and lingerie brands like Nudea and Hunza G. Overall, the article underscores the importance of mindful purchasing to reduce fashion's environmental impact.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