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second, the equivalent of a dump truck full of clothes is sent to a landfill. Could California’s bold new law help end this cycle of waste?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Responsible Textile Recovery Act (SB 707) is the first of its kind in the U.S., requiring textile and apparel companies to take responsibility for their products after consumers are done with them. This means less waste, more repair options, and the potential for a thriving circular economy.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Globally, 85% of clothing ends up in landfills or incinerators, despite efforts to recycle.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alone disposes of 1.2 million tons of textiles annually—clothing, linens, and more.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fast fashion industry accounts for 10% of global carbon emissions, making it a bigger polluter than aviation and shipping combined.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law, companies must: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free drop-off and mail-back programs for consumers.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 producer responsibility organizations (PROs) to fund and manage repair and recycling networks.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Innovate with recyclable and sustainable materials to meet new standards.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initiative shifts the financial burden of textile waste management from taxpayers (who spent $70M on disposal in California in 2021) to the companies producing the waste. It’s also a win for resale, repair, and upcycling industries.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compliance expected by 2030, California is setting the stage for a global shift in how we approach fashion. Could this legislation be the catalyst for a truly circular fashion economy?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think—will this help rethink fast fashion?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