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 Exchange is an organization focused on promoting sustainable practices in the fashion, textile, and apparel industries. They emphasize the importance of responsible resource use from farms, forests, and fossil fuels, aiming to build a global fiber and materials production model that positively impacts the planet. Their Climate+ strategy targets a 45% reduction in greenhouse gas emissions from fiber and raw materials production by 2030. Textile Exchange offers standards, certification, and tools to support sustainability, including a focus on biodiversity, soil health, and water conservation. They provide resources for companies to track progress, compare data, and participate in sustainable material commitments.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