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Reimagining Growth Landscape Analysis report by Textile Exchange addresses the unsustainable 'take-make-waste' model of the fashion, apparel, and textile industry, urging a pivot towards a regenerative economy and post-growth principles. The report outlines the risks of continuing business-as-usual and suggests pathways for systemic change, including phasing out virgin fossil-based synthetics, promoting sustainable material sourcing, and adopting circular business models. It emphasizes the importance of aligning growth with environmental and social imperatives, advocating for government policies and corporate commitments to support a just transition and collective efforts across the industry.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