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Reimagining Growth Landscape Analysis by Textile Exchange critiques the current "take-make-waste" model predominant in the fashion, apparel, and textile industry. It stresses that this model is unsustainable, conflicting with climate, nature, and human rights objectives, and suggests a shift towards a "regenerative economy" and "post-growth" concept. The report advocates for eliminating virgin fossil-based synthetics, promoting sustainably sourced materials, and endorsing circular business models like repair and resale. It also highlights the need for systemic support and policy changes to facilitate a just transition, ensuring all stakeholders are involved and no one is left behind.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