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Reimagining Growth Landscape Analysis by Textile Exchange critiques the linear "take-make-waste" model in the fashion industry, urging a shift toward sustainable practices. The report highlights the industry's incompatibility with climate, nature, and human rights goals and proposes pathways to align with "regenerative economy" and "post-growth" principles to ensure resilience and sustainability. This includes phasing out virgin fossil-based synthetics, advocating for sustainable materials, and supporting circular business models. It emphasizes the need for ambitious government policies and corporate commitments, ensuring a just transition that includes all stakeholders.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