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articles from The Guardian emphasize the growing trend and importance of sustainable fashion. Key highlights include the rise in demand for secondhand clothing, driven by young consumers. Charity Super.Mkt is expanding pop-ups in cities like London, Edinburgh, and Leeds to meet this demand. Influential figures like Patrick Grant criticize established brands like Burberry for not focusing enough on quality and sustainability. Legislative efforts, such as a California bill mandating clothing recycling, are discussed as ways to address fast fashion's environmental impact. The industry is criticized for being slow to adopt sustainability practices, with reports highlighting that a small percentage of London Fashion Week designers have emissions reduction targets. Additionally, discussions around ethical fashion choices, such as debates on vintage fur and the pros and cons of home composting clothing, reflect broader concerns about sustainability in the fashion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