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Venice Sustainable Fashion Forum in 2024 highlighted the urgent need for the fashion industry to address sustainability in the face of economic challenges and geopolitical instability. Key insights include the importance of viewing sustainability as a core part of business strategy and ecosystem, with an analogy of the fashion industry as a living organism where brands, supply chains, and consumers must collaborate. The forum underscored a significant lag in achieving sustainability goals set by the EU, with a considerable financial investment required to meet these targets. A major challenge is the lack of internal competencies and high debt ratios that make eco-investments difficult for many companies, particularly smaller Italian supply chain players.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Notable speakers emphasized the interconnected nature of environmental, social, and governance (ESG) factors, warning that while sustainability efforts might depress consumption, they are critical for long-term competitiveness and environmental health. The forum also discussed generational influences on sustainability, noting a gap between desire and practice among younger consumers and predicting that future generations might drive more data-driven sustainability efforts.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the forum highlighted the need for better regulation and standardization within the European textile industry to enable meaningful progress in sustainability, addressing both local industries and international trade dynamics.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