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2786" w14:textId="77777777" w:rsidR="00493979" w:rsidRPr="00314A95" w:rsidRDefault="00493979" w:rsidP="00D91763">
      <w:pPr>
        <w:jc w:val="center"/>
        <w:rPr>
          <w:rFonts w:ascii="Arial" w:hAnsi="Arial" w:cs="Arial"/>
          <w:b/>
          <w:lang w:val="lt-LT"/>
        </w:rPr>
      </w:pPr>
      <w:r w:rsidRPr="00314A95">
        <w:rPr>
          <w:rFonts w:ascii="Arial" w:hAnsi="Arial" w:cs="Arial"/>
          <w:b/>
          <w:lang w:val="lt-LT"/>
        </w:rPr>
        <w:t>Management of public institutions</w:t>
      </w:r>
    </w:p>
    <w:p w14:paraId="20C6F6D4" w14:textId="027517B2" w:rsidR="00D91763" w:rsidRPr="00314A95" w:rsidRDefault="001D451F" w:rsidP="00D91763">
      <w:pPr>
        <w:jc w:val="center"/>
        <w:rPr>
          <w:rFonts w:ascii="Arial" w:hAnsi="Arial" w:cs="Arial"/>
          <w:b/>
          <w:lang w:val="lt-LT"/>
        </w:rPr>
      </w:pPr>
      <w:r w:rsidRPr="00314A95">
        <w:rPr>
          <w:rFonts w:ascii="Arial" w:hAnsi="Arial" w:cs="Arial"/>
          <w:b/>
          <w:lang w:val="lt-LT"/>
        </w:rPr>
        <w:t>Practical work 2</w:t>
      </w:r>
    </w:p>
    <w:p w14:paraId="0BF7F0DF" w14:textId="611AC255" w:rsidR="00D91763" w:rsidRPr="00314A95" w:rsidRDefault="00493979" w:rsidP="00D91763">
      <w:pPr>
        <w:jc w:val="center"/>
        <w:rPr>
          <w:rFonts w:ascii="Arial" w:hAnsi="Arial" w:cs="Arial"/>
          <w:b/>
          <w:lang w:val="lt-LT"/>
        </w:rPr>
      </w:pPr>
      <w:r w:rsidRPr="00314A95">
        <w:rPr>
          <w:rFonts w:ascii="Arial" w:hAnsi="Arial" w:cs="Arial"/>
          <w:b/>
          <w:lang w:val="lt-LT"/>
        </w:rPr>
        <w:t>Planning the public sector and its management, ensuring the integrity of the public administration system.</w:t>
      </w:r>
    </w:p>
    <w:p w14:paraId="41E043EC" w14:textId="77777777" w:rsidR="005E6570" w:rsidRPr="00314A95" w:rsidRDefault="005E6570">
      <w:pPr>
        <w:rPr>
          <w:rFonts w:ascii="Arial" w:hAnsi="Arial" w:cs="Arial"/>
          <w:lang w:val="lt-LT"/>
        </w:rPr>
      </w:pPr>
    </w:p>
    <w:p w14:paraId="539A9551" w14:textId="77777777" w:rsidR="005E6570" w:rsidRPr="00314A95" w:rsidRDefault="00E46291">
      <w:pPr>
        <w:rPr>
          <w:rFonts w:ascii="Arial" w:hAnsi="Arial" w:cs="Arial"/>
          <w:b/>
        </w:rPr>
      </w:pPr>
      <w:r w:rsidRPr="00314A95">
        <w:rPr>
          <w:rFonts w:ascii="Arial" w:hAnsi="Arial" w:cs="Arial"/>
          <w:b/>
        </w:rPr>
        <w:t>Objectives :</w:t>
      </w:r>
    </w:p>
    <w:p w14:paraId="6C5F236F" w14:textId="77777777" w:rsidR="00E46291" w:rsidRPr="00314A95" w:rsidRDefault="00E46291">
      <w:pPr>
        <w:rPr>
          <w:rFonts w:ascii="Arial" w:hAnsi="Arial" w:cs="Arial"/>
          <w:b/>
          <w:lang w:val="lt-LT"/>
        </w:rPr>
      </w:pPr>
      <w:r w:rsidRPr="00314A95">
        <w:rPr>
          <w:rFonts w:ascii="Arial" w:hAnsi="Arial" w:cs="Arial"/>
          <w:b/>
          <w:lang w:val="sv-SE"/>
        </w:rPr>
        <w:t xml:space="preserve">1. </w:t>
      </w:r>
      <w:r w:rsidRPr="00314A95">
        <w:rPr>
          <w:rFonts w:ascii="Arial" w:hAnsi="Arial" w:cs="Arial"/>
          <w:b/>
          <w:lang w:val="lt-LT"/>
        </w:rPr>
        <w:t>Learn to analyze and critically evaluate documents.</w:t>
      </w:r>
    </w:p>
    <w:p w14:paraId="18DF3F74" w14:textId="77777777" w:rsidR="00E46291" w:rsidRPr="00314A95" w:rsidRDefault="00E46291">
      <w:pPr>
        <w:rPr>
          <w:rFonts w:ascii="Arial" w:hAnsi="Arial" w:cs="Arial"/>
          <w:b/>
          <w:lang w:val="lt-LT"/>
        </w:rPr>
      </w:pPr>
      <w:r w:rsidRPr="00314A95">
        <w:rPr>
          <w:rFonts w:ascii="Arial" w:hAnsi="Arial" w:cs="Arial"/>
          <w:b/>
          <w:lang w:val="lt-LT"/>
        </w:rPr>
        <w:t>2. Examine areas for development at the national level.</w:t>
      </w:r>
    </w:p>
    <w:p w14:paraId="47920ECC" w14:textId="77777777" w:rsidR="004335C0" w:rsidRPr="00314A95" w:rsidRDefault="004335C0">
      <w:pPr>
        <w:rPr>
          <w:rFonts w:ascii="Arial" w:hAnsi="Arial" w:cs="Arial"/>
          <w:b/>
          <w:lang w:val="lt-LT"/>
        </w:rPr>
      </w:pPr>
      <w:r w:rsidRPr="00314A95">
        <w:rPr>
          <w:rFonts w:ascii="Arial" w:hAnsi="Arial" w:cs="Arial"/>
          <w:b/>
          <w:lang w:val="lt-LT"/>
        </w:rPr>
        <w:t>Duration – 2 hours.</w:t>
      </w:r>
    </w:p>
    <w:p w14:paraId="494E70CA" w14:textId="40E8DD49" w:rsidR="004335C0" w:rsidRPr="00314A95" w:rsidRDefault="004335C0">
      <w:pPr>
        <w:rPr>
          <w:rFonts w:ascii="Arial" w:hAnsi="Arial" w:cs="Arial"/>
          <w:b/>
          <w:lang w:val="lt-LT"/>
        </w:rPr>
      </w:pPr>
      <w:r w:rsidRPr="00314A95">
        <w:rPr>
          <w:rFonts w:ascii="Arial" w:hAnsi="Arial" w:cs="Arial"/>
          <w:b/>
          <w:lang w:val="lt-LT"/>
        </w:rPr>
        <w:t>The work can be completed by 2 students working together, analyzing the submitted national strategic planning documents and discussing the content of these documents, seeking answers to the questions.</w:t>
      </w:r>
    </w:p>
    <w:p w14:paraId="6149D690" w14:textId="4AC5F6C1" w:rsidR="004335C0" w:rsidRPr="00314A95" w:rsidRDefault="004335C0">
      <w:pPr>
        <w:rPr>
          <w:rFonts w:ascii="Arial" w:hAnsi="Arial" w:cs="Arial"/>
          <w:b/>
          <w:lang w:val="lt-LT"/>
        </w:rPr>
      </w:pPr>
      <w:r w:rsidRPr="00314A95">
        <w:rPr>
          <w:rFonts w:ascii="Arial" w:hAnsi="Arial" w:cs="Arial"/>
          <w:b/>
          <w:lang w:val="lt-LT"/>
        </w:rPr>
        <w:t>The work is graded on a ten-point scale. The reasoning and explanation of the answers is very important.</w:t>
      </w:r>
    </w:p>
    <w:p w14:paraId="26B5420C" w14:textId="77777777" w:rsidR="0006038E" w:rsidRPr="00314A95" w:rsidRDefault="0006038E">
      <w:pPr>
        <w:rPr>
          <w:rFonts w:ascii="Arial" w:hAnsi="Arial" w:cs="Arial"/>
          <w:b/>
          <w:lang w:val="lt-LT"/>
        </w:rPr>
      </w:pPr>
    </w:p>
    <w:p w14:paraId="0B24CF1B" w14:textId="03895C3E" w:rsidR="0006038E" w:rsidRPr="00314A95" w:rsidRDefault="0006038E">
      <w:pPr>
        <w:rPr>
          <w:rFonts w:ascii="Arial" w:hAnsi="Arial" w:cs="Arial"/>
          <w:b/>
          <w:lang w:val="lt-LT"/>
        </w:rPr>
      </w:pPr>
      <w:r w:rsidRPr="00314A95">
        <w:rPr>
          <w:rFonts w:ascii="Arial" w:hAnsi="Arial" w:cs="Arial"/>
          <w:b/>
          <w:lang w:val="lt-LT"/>
        </w:rPr>
        <w:t xml:space="preserve">Task 1. Get acquainted with the National Security Strategy of the Republic of Lithuania </w:t>
      </w:r>
      <w:hyperlink r:id="rId6" w:history="1">
        <w:r w:rsidR="001D451F" w:rsidRPr="00314A95">
          <w:rPr>
            <w:rStyle w:val="Hyperlink"/>
            <w:rFonts w:ascii="Arial" w:hAnsi="Arial" w:cs="Arial"/>
            <w:b/>
          </w:rPr>
          <w:t xml:space="preserve">IX-907 </w:t>
        </w:r>
      </w:hyperlink>
      <w:hyperlink r:id="rId7" w:history="1"/>
      <w:hyperlink r:id="rId8" w:history="1">
        <w:r w:rsidR="001D451F" w:rsidRPr="00314A95">
          <w:rPr>
            <w:rStyle w:val="Hyperlink"/>
            <w:rFonts w:ascii="Arial" w:hAnsi="Arial" w:cs="Arial"/>
            <w:b/>
          </w:rPr>
          <w:t>Regarding</w:t>
        </w:r>
      </w:hyperlink>
      <w:hyperlink r:id="rId9" w:history="1"/>
      <w:hyperlink r:id="rId10" w:history="1">
        <w:r w:rsidR="001D451F" w:rsidRPr="00314A95">
          <w:rPr>
            <w:rStyle w:val="Hyperlink"/>
            <w:rFonts w:ascii="Arial" w:hAnsi="Arial" w:cs="Arial"/>
            <w:b/>
          </w:rPr>
          <w:t xml:space="preserve"> </w:t>
        </w:r>
      </w:hyperlink>
      <w:hyperlink r:id="rId11" w:history="1"/>
      <w:hyperlink r:id="rId12" w:history="1">
        <w:r w:rsidR="001D451F" w:rsidRPr="00314A95">
          <w:rPr>
            <w:rStyle w:val="Hyperlink"/>
            <w:rFonts w:ascii="Arial" w:hAnsi="Arial" w:cs="Arial"/>
            <w:b/>
          </w:rPr>
          <w:t>National</w:t>
        </w:r>
      </w:hyperlink>
      <w:hyperlink r:id="rId13" w:history="1"/>
      <w:hyperlink r:id="rId14" w:history="1">
        <w:r w:rsidR="001D451F" w:rsidRPr="00314A95">
          <w:rPr>
            <w:rStyle w:val="Hyperlink"/>
            <w:rFonts w:ascii="Arial" w:hAnsi="Arial" w:cs="Arial"/>
            <w:b/>
          </w:rPr>
          <w:t xml:space="preserve"> </w:t>
        </w:r>
      </w:hyperlink>
      <w:hyperlink r:id="rId15" w:history="1"/>
      <w:hyperlink r:id="rId16" w:history="1">
        <w:r w:rsidR="001D451F" w:rsidRPr="00314A95">
          <w:rPr>
            <w:rStyle w:val="Hyperlink"/>
            <w:rFonts w:ascii="Arial" w:hAnsi="Arial" w:cs="Arial"/>
            <w:b/>
          </w:rPr>
          <w:t>security</w:t>
        </w:r>
      </w:hyperlink>
      <w:hyperlink r:id="rId17" w:history="1"/>
      <w:hyperlink r:id="rId18" w:history="1">
        <w:r w:rsidR="001D451F" w:rsidRPr="00314A95">
          <w:rPr>
            <w:rStyle w:val="Hyperlink"/>
            <w:rFonts w:ascii="Arial" w:hAnsi="Arial" w:cs="Arial"/>
            <w:b/>
          </w:rPr>
          <w:t xml:space="preserve"> </w:t>
        </w:r>
      </w:hyperlink>
      <w:hyperlink r:id="rId19" w:history="1"/>
      <w:hyperlink r:id="rId20" w:history="1">
        <w:r w:rsidR="001D451F" w:rsidRPr="00314A95">
          <w:rPr>
            <w:rStyle w:val="Hyperlink"/>
            <w:rFonts w:ascii="Arial" w:hAnsi="Arial" w:cs="Arial"/>
            <w:b/>
          </w:rPr>
          <w:t>strategies</w:t>
        </w:r>
      </w:hyperlink>
      <w:hyperlink r:id="rId21" w:history="1"/>
      <w:hyperlink r:id="rId22" w:history="1">
        <w:r w:rsidR="001D451F" w:rsidRPr="00314A95">
          <w:rPr>
            <w:rStyle w:val="Hyperlink"/>
            <w:rFonts w:ascii="Arial" w:hAnsi="Arial" w:cs="Arial"/>
            <w:b/>
          </w:rPr>
          <w:t xml:space="preserve"> </w:t>
        </w:r>
      </w:hyperlink>
      <w:hyperlink r:id="rId23" w:history="1"/>
      <w:hyperlink r:id="rId24" w:history="1">
        <w:r w:rsidR="001D451F" w:rsidRPr="00314A95">
          <w:rPr>
            <w:rStyle w:val="Hyperlink"/>
            <w:rFonts w:ascii="Arial" w:hAnsi="Arial" w:cs="Arial"/>
            <w:b/>
          </w:rPr>
          <w:t xml:space="preserve">confirmation </w:t>
        </w:r>
      </w:hyperlink>
      <w:hyperlink r:id="rId25" w:history="1"/>
      <w:r w:rsidR="001D451F" w:rsidRPr="00314A95">
        <w:rPr>
          <w:rFonts w:ascii="Arial" w:hAnsi="Arial" w:cs="Arial"/>
          <w:b/>
          <w:lang w:val="lt-LT"/>
        </w:rPr>
        <w:t>and answer the questions: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7"/>
        <w:gridCol w:w="5350"/>
      </w:tblGrid>
      <w:tr w:rsidR="001D451F" w:rsidRPr="00314A95" w14:paraId="47DDBA23" w14:textId="77777777" w:rsidTr="00314A95">
        <w:tc>
          <w:tcPr>
            <w:tcW w:w="2361" w:type="pct"/>
          </w:tcPr>
          <w:p w14:paraId="3A107DE9" w14:textId="77CB5D6B" w:rsidR="001D451F" w:rsidRPr="00314A95" w:rsidRDefault="001D451F">
            <w:pPr>
              <w:rPr>
                <w:rFonts w:ascii="Arial" w:hAnsi="Arial" w:cs="Arial"/>
                <w:b/>
                <w:lang w:val="lt-LT"/>
              </w:rPr>
            </w:pPr>
            <w:r w:rsidRPr="00314A95">
              <w:rPr>
                <w:rFonts w:ascii="Arial" w:hAnsi="Arial" w:cs="Arial"/>
                <w:b/>
                <w:lang w:val="lt-LT"/>
              </w:rPr>
              <w:t>Question</w:t>
            </w:r>
          </w:p>
        </w:tc>
        <w:tc>
          <w:tcPr>
            <w:tcW w:w="2639" w:type="pct"/>
          </w:tcPr>
          <w:p w14:paraId="25BB25C5" w14:textId="1CB8B6BD" w:rsidR="001D451F" w:rsidRPr="00314A95" w:rsidRDefault="001D451F">
            <w:pPr>
              <w:rPr>
                <w:rFonts w:ascii="Arial" w:hAnsi="Arial" w:cs="Arial"/>
                <w:b/>
                <w:lang w:val="lt-LT"/>
              </w:rPr>
            </w:pPr>
            <w:r w:rsidRPr="00314A95">
              <w:rPr>
                <w:rFonts w:ascii="Arial" w:hAnsi="Arial" w:cs="Arial"/>
                <w:b/>
                <w:lang w:val="lt-LT"/>
              </w:rPr>
              <w:t>Answers</w:t>
            </w:r>
          </w:p>
        </w:tc>
      </w:tr>
      <w:tr w:rsidR="001D451F" w:rsidRPr="00314A95" w14:paraId="1DDE8A3C" w14:textId="77777777" w:rsidTr="00314A95">
        <w:tc>
          <w:tcPr>
            <w:tcW w:w="2361" w:type="pct"/>
          </w:tcPr>
          <w:p w14:paraId="203AADEE" w14:textId="2ED8CD1E" w:rsidR="001D451F" w:rsidRPr="00314A95" w:rsidRDefault="001D451F">
            <w:pPr>
              <w:rPr>
                <w:rFonts w:ascii="Arial" w:hAnsi="Arial" w:cs="Arial"/>
                <w:bCs/>
                <w:lang w:val="lt-LT"/>
              </w:rPr>
            </w:pPr>
            <w:r w:rsidRPr="00314A95">
              <w:rPr>
                <w:rFonts w:ascii="Arial" w:hAnsi="Arial" w:cs="Arial"/>
                <w:bCs/>
                <w:lang w:val="lt-LT"/>
              </w:rPr>
              <w:t xml:space="preserve">What are </w:t>
            </w:r>
            <w:r w:rsidRPr="00314A95">
              <w:rPr>
                <w:rFonts w:ascii="Arial" w:eastAsia="PMingLiU" w:hAnsi="Arial" w:cs="Arial"/>
              </w:rPr>
              <w:t>the Republic of Lithuania's national security interests ?</w:t>
            </w:r>
          </w:p>
        </w:tc>
        <w:tc>
          <w:tcPr>
            <w:tcW w:w="2639" w:type="pct"/>
          </w:tcPr>
          <w:p w14:paraId="062F3571" w14:textId="77777777" w:rsidR="001D451F" w:rsidRPr="00314A95" w:rsidRDefault="001D451F">
            <w:pPr>
              <w:spacing w:after="60" w:before="0" w:line="240" w:lineRule="auto"/>
              <w:rPr>
                <w:rFonts w:ascii="Arial" w:hAnsi="Arial" w:cs="Arial"/>
                <w:bCs/>
                <w:lang w:val="lt-LT"/>
              </w:rPr>
            </w:pPr>
            <w:r>
              <w:rPr>
                <w:rFonts w:ascii="Arial" w:hAnsi="Arial" w:cs="Arial"/>
                <w:b w:val="0"/>
                <w:i w:val="0"/>
                <w:sz w:val="21"/>
                <w:lang w:val="en-GB"/>
              </w:rPr>
              <w:t>The Strategy separates vital interests from other national security interests.</w:t>
            </w:r>
          </w:p>
          <w:p>
            <w:pPr>
              <w:spacing w:after="60" w:before="0" w:line="240" w:lineRule="auto"/>
            </w:pPr>
            <w:r>
              <w:rPr>
                <w:rFonts w:ascii="Arial" w:hAnsi="Arial" w:cs="Arial"/>
                <w:b/>
                <w:i w:val="0"/>
                <w:sz w:val="21"/>
                <w:lang w:val="en-GB"/>
              </w:rPr>
              <w:t>Vital interests</w:t>
            </w:r>
            <w:r>
              <w:rPr>
                <w:rFonts w:ascii="Arial" w:hAnsi="Arial" w:cs="Arial"/>
                <w:b w:val="0"/>
                <w:i w:val="0"/>
                <w:sz w:val="21"/>
                <w:lang w:val="en-GB"/>
              </w:rPr>
              <w:t xml:space="preserve"> are defended by all lawful means, because losing them would threaten the existence of the State of Lithuania and its society: the sovereignty, territorial integrity and democratic constitutional order of the Republic of Lithuania, together with civil society and the protection of human and civil rights and freedoms.</w:t>
            </w:r>
          </w:p>
          <w:p>
            <w:pPr>
              <w:spacing w:after="60" w:before="0" w:line="240" w:lineRule="auto"/>
            </w:pPr>
            <w:r>
              <w:rPr>
                <w:rFonts w:ascii="Arial" w:hAnsi="Arial" w:cs="Arial"/>
                <w:b/>
                <w:i w:val="0"/>
                <w:sz w:val="21"/>
                <w:lang w:val="en-GB"/>
              </w:rPr>
              <w:t>Other interests</w:t>
            </w:r>
            <w:r>
              <w:rPr>
                <w:rFonts w:ascii="Arial" w:hAnsi="Arial" w:cs="Arial"/>
                <w:b w:val="0"/>
                <w:i w:val="0"/>
                <w:sz w:val="21"/>
                <w:lang w:val="en-GB"/>
              </w:rPr>
              <w:t xml:space="preserve"> reach beyond our borders: peace, security and stability in the region and in Europe; a united and strong NATO and EU and a strong transatlantic link; democracy, security and stability in neighbouring states; an international order based on international law; economic and energy security (reliable energy supply from several sources and secure strategic infrastructure).</w:t>
            </w:r>
          </w:p>
          <w:p>
            <w:pPr>
              <w:spacing w:after="60" w:before="0" w:line="240" w:lineRule="auto"/>
            </w:pPr>
            <w:r>
              <w:rPr>
                <w:rFonts w:ascii="Arial" w:hAnsi="Arial" w:cs="Arial"/>
                <w:b w:val="0"/>
                <w:i w:val="0"/>
                <w:sz w:val="21"/>
                <w:lang w:val="en-GB"/>
              </w:rPr>
              <w:t>The main idea is that Lithuania does not see its security as separate from its allies. It is part of the common, indivisible security of NATO and the EU.</w:t>
            </w:r>
          </w:p>
        </w:tc>
      </w:tr>
      <w:tr w:rsidR="001D451F" w:rsidRPr="00314A95" w14:paraId="0840754B" w14:textId="77777777" w:rsidTr="00314A95">
        <w:tc>
          <w:tcPr>
            <w:tcW w:w="2361" w:type="pct"/>
          </w:tcPr>
          <w:p w14:paraId="7A070AA5" w14:textId="15A0C743" w:rsidR="001D451F" w:rsidRPr="00314A95" w:rsidRDefault="001D451F">
            <w:pPr>
              <w:rPr>
                <w:rFonts w:ascii="Arial" w:hAnsi="Arial" w:cs="Arial"/>
                <w:bCs/>
                <w:lang w:val="lt-LT"/>
              </w:rPr>
            </w:pPr>
            <w:r w:rsidRPr="00314A95">
              <w:rPr>
                <w:rFonts w:ascii="Arial" w:hAnsi="Arial" w:cs="Arial"/>
                <w:bCs/>
                <w:lang w:val="lt-LT"/>
              </w:rPr>
              <w:t>Name two circumstances discussed in the Security Environment Description of the Republic of Lithuania and briefly comment on how you observe these aspects in your environment.</w:t>
            </w:r>
          </w:p>
        </w:tc>
        <w:tc>
          <w:tcPr>
            <w:tcW w:w="2639" w:type="pct"/>
          </w:tcPr>
          <w:p w14:paraId="7B30552C" w14:textId="77777777" w:rsidR="001D451F" w:rsidRPr="00314A95" w:rsidRDefault="001D451F">
            <w:pPr>
              <w:spacing w:after="60" w:before="0" w:line="240" w:lineRule="auto"/>
              <w:rPr>
                <w:rFonts w:ascii="Arial" w:hAnsi="Arial" w:cs="Arial"/>
                <w:bCs/>
                <w:lang w:val="lt-LT"/>
              </w:rPr>
            </w:pPr>
            <w:r>
              <w:rPr>
                <w:rFonts w:ascii="Arial" w:hAnsi="Arial" w:cs="Arial"/>
                <w:b/>
                <w:i w:val="0"/>
                <w:sz w:val="21"/>
                <w:lang w:val="en-GB"/>
              </w:rPr>
              <w:t>1. The aggressive policy of Russia.</w:t>
            </w:r>
            <w:r>
              <w:rPr>
                <w:rFonts w:ascii="Arial" w:hAnsi="Arial" w:cs="Arial"/>
                <w:b w:val="0"/>
                <w:i w:val="0"/>
                <w:sz w:val="21"/>
                <w:lang w:val="en-GB"/>
              </w:rPr>
              <w:t xml:space="preserve"> The Strategy names Russia as the main threat. Russia breaks the security order based on international law, builds up military power close to our borders (in the Kaliningrad region and in Belarus) and uses hybrid tools: disinformation, cyber attacks, energy and economic pressure. The war against Ukraine proves this is real. The updated Strategy approved by the Government in 2026 goes further and calls this threat existential.</w:t>
            </w:r>
          </w:p>
          <w:p>
            <w:pPr>
              <w:spacing w:after="60" w:before="0" w:line="240" w:lineRule="auto"/>
            </w:pPr>
            <w:r>
              <w:rPr>
                <w:rFonts w:ascii="Arial" w:hAnsi="Arial" w:cs="Arial"/>
                <w:b w:val="0"/>
                <w:i/>
                <w:sz w:val="21"/>
                <w:lang w:val="en-GB"/>
              </w:rPr>
              <w:t>What we see:</w:t>
            </w:r>
            <w:r>
              <w:rPr>
                <w:rFonts w:ascii="Arial" w:hAnsi="Arial" w:cs="Arial"/>
                <w:b w:val="0"/>
                <w:i w:val="0"/>
                <w:sz w:val="21"/>
                <w:lang w:val="en-GB"/>
              </w:rPr>
              <w:t xml:space="preserve"> allied NATO troops are stationed in Lithuania and a German brigade is being set up here. In 2026 defence spending is above 5% of GDP. Shelters are marked in cities and people get advice on what to do in an emergency. GPS signal jamming in the Baltic region has become a regular problem for planes and ships.</w:t>
            </w:r>
          </w:p>
          <w:p>
            <w:pPr>
              <w:spacing w:after="60" w:before="0" w:line="240" w:lineRule="auto"/>
            </w:pPr>
            <w:r>
              <w:rPr>
                <w:rFonts w:ascii="Arial" w:hAnsi="Arial" w:cs="Arial"/>
                <w:b/>
                <w:i w:val="0"/>
                <w:sz w:val="21"/>
                <w:lang w:val="en-GB"/>
              </w:rPr>
              <w:t>2. The hostile and unpredictable regime in Belarus.</w:t>
            </w:r>
            <w:r>
              <w:rPr>
                <w:rFonts w:ascii="Arial" w:hAnsi="Arial" w:cs="Arial"/>
                <w:b w:val="0"/>
                <w:i w:val="0"/>
                <w:sz w:val="21"/>
                <w:lang w:val="en-GB"/>
              </w:rPr>
              <w:t xml:space="preserve"> The Strategy describes Belarus as more and more dependent on Russia and hostile to Lithuania. In 2021 the regime organised a hybrid attack by pushing irregular migrants over the Lithuanian border. The Astravyets nuclear power plant, about 50 km from Vilnius, is another risk.</w:t>
            </w:r>
          </w:p>
          <w:p>
            <w:pPr>
              <w:spacing w:after="60" w:before="0" w:line="240" w:lineRule="auto"/>
            </w:pPr>
            <w:r>
              <w:rPr>
                <w:rFonts w:ascii="Arial" w:hAnsi="Arial" w:cs="Arial"/>
                <w:b w:val="0"/>
                <w:i/>
                <w:sz w:val="21"/>
                <w:lang w:val="en-GB"/>
              </w:rPr>
              <w:t>What we see:</w:t>
            </w:r>
            <w:r>
              <w:rPr>
                <w:rFonts w:ascii="Arial" w:hAnsi="Arial" w:cs="Arial"/>
                <w:b w:val="0"/>
                <w:i w:val="0"/>
                <w:sz w:val="21"/>
                <w:lang w:val="en-GB"/>
              </w:rPr>
              <w:t xml:space="preserve"> a physical barrier now runs along the Belarusian border. In autumn 2025 balloons with smuggled cigarettes kept coming from Belarus and Vilnius airport had to close several times. Hybrid pressure reaches ordinary people directly, for example travellers.</w:t>
            </w:r>
          </w:p>
          <w:p>
            <w:pPr>
              <w:spacing w:after="60" w:before="0" w:line="240" w:lineRule="auto"/>
            </w:pPr>
            <w:r>
              <w:rPr>
                <w:rFonts w:ascii="Arial" w:hAnsi="Arial" w:cs="Arial"/>
                <w:b w:val="0"/>
                <w:i w:val="0"/>
                <w:sz w:val="21"/>
                <w:lang w:val="en-GB"/>
              </w:rPr>
              <w:t>The Strategy also mentions China's growing influence and pressure, and information and cyber threats.</w:t>
            </w:r>
          </w:p>
        </w:tc>
      </w:tr>
      <w:tr w:rsidR="001D451F" w:rsidRPr="00314A95" w14:paraId="620F574C" w14:textId="77777777" w:rsidTr="00314A95">
        <w:tc>
          <w:tcPr>
            <w:tcW w:w="2361" w:type="pct"/>
          </w:tcPr>
          <w:p w14:paraId="11DC68E9" w14:textId="6EFDDB1D" w:rsidR="001D451F" w:rsidRPr="00314A95" w:rsidRDefault="001D451F">
            <w:pPr>
              <w:rPr>
                <w:rFonts w:ascii="Arial" w:hAnsi="Arial" w:cs="Arial"/>
                <w:bCs/>
                <w:lang w:val="lt-LT"/>
              </w:rPr>
            </w:pPr>
            <w:r w:rsidRPr="00314A95">
              <w:rPr>
                <w:rFonts w:ascii="Arial" w:hAnsi="Arial" w:cs="Arial"/>
                <w:bCs/>
                <w:lang w:val="lt-LT"/>
              </w:rPr>
              <w:t>Why is state resilience important for national security? What actions do you observe in your environment?</w:t>
            </w:r>
          </w:p>
        </w:tc>
        <w:tc>
          <w:tcPr>
            <w:tcW w:w="2639" w:type="pct"/>
          </w:tcPr>
          <w:p w14:paraId="4FB15B7B" w14:textId="77777777" w:rsidR="001D451F" w:rsidRPr="00314A95" w:rsidRDefault="001D451F">
            <w:pPr>
              <w:spacing w:after="60" w:before="0" w:line="240" w:lineRule="auto"/>
              <w:rPr>
                <w:rFonts w:ascii="Arial" w:hAnsi="Arial" w:cs="Arial"/>
                <w:bCs/>
                <w:lang w:val="lt-LT"/>
              </w:rPr>
            </w:pPr>
            <w:r>
              <w:rPr>
                <w:rFonts w:ascii="Arial" w:hAnsi="Arial" w:cs="Arial"/>
                <w:b w:val="0"/>
                <w:i w:val="0"/>
                <w:sz w:val="21"/>
                <w:lang w:val="en-GB"/>
              </w:rPr>
              <w:t>In the Strategy, the resilience of the state and society is one of the three pillars of national security policy, next to readiness to defend the state and contribution to international security.</w:t>
            </w:r>
          </w:p>
          <w:p>
            <w:pPr>
              <w:spacing w:after="60" w:before="0" w:line="240" w:lineRule="auto"/>
            </w:pPr>
            <w:r>
              <w:rPr>
                <w:rFonts w:ascii="Arial" w:hAnsi="Arial" w:cs="Arial"/>
                <w:b w:val="0"/>
                <w:i w:val="0"/>
                <w:sz w:val="21"/>
                <w:lang w:val="en-GB"/>
              </w:rPr>
              <w:t>Modern threats often start without soldiers. An opponent may try to cut energy supply, attack state IT systems, damage critical infrastructure or spread chaos with fake news. If institutions keep working in a crisis and energy, communications and public services do not stop, this pressure gives the aggressor very little. A resilient state is also a less attractive target, so resilience works as deterrence. The lecture makes the same point from the management side: institutions have to work as one coherent system with common planning and coordination, otherwise they cannot act together in a crisis.</w:t>
            </w:r>
          </w:p>
          <w:p>
            <w:pPr>
              <w:spacing w:after="60" w:before="0" w:line="240" w:lineRule="auto"/>
            </w:pPr>
            <w:r>
              <w:rPr>
                <w:rFonts w:ascii="Arial" w:hAnsi="Arial" w:cs="Arial"/>
                <w:b w:val="0"/>
                <w:i/>
                <w:sz w:val="21"/>
                <w:lang w:val="en-GB"/>
              </w:rPr>
              <w:t>What we see:</w:t>
            </w:r>
          </w:p>
          <w:p>
            <w:pPr>
              <w:spacing w:after="60" w:before="0" w:line="240" w:lineRule="auto"/>
            </w:pPr>
            <w:r>
              <w:rPr>
                <w:rFonts w:ascii="Arial" w:hAnsi="Arial" w:cs="Arial"/>
                <w:b w:val="0"/>
                <w:i w:val="0"/>
                <w:sz w:val="21"/>
                <w:lang w:val="en-GB"/>
              </w:rPr>
              <w:t>1) Energy independence: the LNG terminal in Klaipėda, the end of Russian gas imports in 2022 and the synchronisation of the Baltic power grids with continental Europe in February 2025.</w:t>
            </w:r>
          </w:p>
          <w:p>
            <w:pPr>
              <w:spacing w:after="60" w:before="0" w:line="240" w:lineRule="auto"/>
            </w:pPr>
            <w:r>
              <w:rPr>
                <w:rFonts w:ascii="Arial" w:hAnsi="Arial" w:cs="Arial"/>
                <w:b w:val="0"/>
                <w:i w:val="0"/>
                <w:sz w:val="21"/>
                <w:lang w:val="en-GB"/>
              </w:rPr>
              <w:t>2) Crisis management: the National Crisis Management Centre was created under the Government, and institutions run joint exercises.</w:t>
            </w:r>
          </w:p>
          <w:p>
            <w:pPr>
              <w:spacing w:after="60" w:before="0" w:line="240" w:lineRule="auto"/>
            </w:pPr>
            <w:r>
              <w:rPr>
                <w:rFonts w:ascii="Arial" w:hAnsi="Arial" w:cs="Arial"/>
                <w:b w:val="0"/>
                <w:i w:val="0"/>
                <w:sz w:val="21"/>
                <w:lang w:val="en-GB"/>
              </w:rPr>
              <w:t>3) Protection of critical infrastructure and cyberspace: more patrols in the Baltic Sea after undersea cables were damaged, and the National Cyber Security Centre watches state networks.</w:t>
            </w:r>
          </w:p>
        </w:tc>
      </w:tr>
      <w:tr w:rsidR="001D451F" w:rsidRPr="00314A95" w14:paraId="64B4A997" w14:textId="77777777" w:rsidTr="00314A95">
        <w:tc>
          <w:tcPr>
            <w:tcW w:w="2361" w:type="pct"/>
          </w:tcPr>
          <w:p w14:paraId="465E1DFD" w14:textId="25854F8C" w:rsidR="001D451F" w:rsidRPr="00314A95" w:rsidRDefault="001D451F">
            <w:pPr>
              <w:rPr>
                <w:rFonts w:ascii="Arial" w:hAnsi="Arial" w:cs="Arial"/>
                <w:bCs/>
                <w:lang w:val="lt-LT"/>
              </w:rPr>
            </w:pPr>
            <w:r w:rsidRPr="00314A95">
              <w:rPr>
                <w:rFonts w:ascii="Arial" w:hAnsi="Arial" w:cs="Arial"/>
                <w:bCs/>
                <w:lang w:val="lt-LT"/>
              </w:rPr>
              <w:t>Why is societal resilience important for national security? What actions do you observe in your environment?</w:t>
            </w:r>
          </w:p>
        </w:tc>
        <w:tc>
          <w:tcPr>
            <w:tcW w:w="2639" w:type="pct"/>
          </w:tcPr>
          <w:p w14:paraId="23B15272" w14:textId="77777777" w:rsidR="001D451F" w:rsidRPr="00314A95" w:rsidRDefault="001D451F">
            <w:pPr>
              <w:spacing w:after="60" w:before="0" w:line="240" w:lineRule="auto"/>
              <w:rPr>
                <w:rFonts w:ascii="Arial" w:hAnsi="Arial" w:cs="Arial"/>
                <w:bCs/>
                <w:lang w:val="lt-LT"/>
              </w:rPr>
            </w:pPr>
            <w:r>
              <w:rPr>
                <w:rFonts w:ascii="Arial" w:hAnsi="Arial" w:cs="Arial"/>
                <w:b w:val="0"/>
                <w:i w:val="0"/>
                <w:sz w:val="21"/>
                <w:lang w:val="en-GB"/>
              </w:rPr>
              <w:t>The Strategy says Lithuania cannot be defended without citizens who are determined to resist an aggressor in every possible way. Society is also the first target of propaganda. The Strategy notes that poverty and social and regional exclusion make people more open to hostile influence and propaganda. A united society that trusts the state, can recognise fake news and knows what to do in a crisis is the base of total defence.</w:t>
            </w:r>
          </w:p>
          <w:p>
            <w:pPr>
              <w:spacing w:after="60" w:before="0" w:line="240" w:lineRule="auto"/>
            </w:pPr>
            <w:r>
              <w:rPr>
                <w:rFonts w:ascii="Arial" w:hAnsi="Arial" w:cs="Arial"/>
                <w:b w:val="0"/>
                <w:i w:val="0"/>
                <w:sz w:val="21"/>
                <w:lang w:val="en-GB"/>
              </w:rPr>
              <w:t>History shows this: in January 1991 unarmed people defended the Parliament and the TV tower, and today in Ukraine civilians keep the country working under attack.</w:t>
            </w:r>
          </w:p>
          <w:p>
            <w:pPr>
              <w:spacing w:after="60" w:before="0" w:line="240" w:lineRule="auto"/>
            </w:pPr>
            <w:r>
              <w:rPr>
                <w:rFonts w:ascii="Arial" w:hAnsi="Arial" w:cs="Arial"/>
                <w:b w:val="0"/>
                <w:i/>
                <w:sz w:val="21"/>
                <w:lang w:val="en-GB"/>
              </w:rPr>
              <w:t>What we see:</w:t>
            </w:r>
          </w:p>
          <w:p>
            <w:pPr>
              <w:spacing w:after="60" w:before="0" w:line="240" w:lineRule="auto"/>
            </w:pPr>
            <w:r>
              <w:rPr>
                <w:rFonts w:ascii="Arial" w:hAnsi="Arial" w:cs="Arial"/>
                <w:b w:val="0"/>
                <w:i w:val="0"/>
                <w:sz w:val="21"/>
                <w:lang w:val="en-GB"/>
              </w:rPr>
              <w:t>1) More people join the Lithuanian Riflemen's Union and civil resistance trainings, and conscription has been back since 2015.</w:t>
            </w:r>
          </w:p>
          <w:p>
            <w:pPr>
              <w:spacing w:after="60" w:before="0" w:line="240" w:lineRule="auto"/>
            </w:pPr>
            <w:r>
              <w:rPr>
                <w:rFonts w:ascii="Arial" w:hAnsi="Arial" w:cs="Arial"/>
                <w:b w:val="0"/>
                <w:i w:val="0"/>
                <w:sz w:val="21"/>
                <w:lang w:val="en-GB"/>
              </w:rPr>
              <w:t>2) Volunteers (the so-called Lithuanian “elves”) and projects like Debunk expose disinformation online, and media literacy is taught in schools and libraries.</w:t>
            </w:r>
          </w:p>
          <w:p>
            <w:pPr>
              <w:spacing w:after="60" w:before="0" w:line="240" w:lineRule="auto"/>
            </w:pPr>
            <w:r>
              <w:rPr>
                <w:rFonts w:ascii="Arial" w:hAnsi="Arial" w:cs="Arial"/>
                <w:b w:val="0"/>
                <w:i w:val="0"/>
                <w:sz w:val="21"/>
                <w:lang w:val="en-GB"/>
              </w:rPr>
              <w:t>3) Solidarity with Ukraine: in 2022 people raised money for a Bayraktar drone within days, and many families host Ukrainian refugees.</w:t>
            </w:r>
          </w:p>
          <w:p>
            <w:pPr>
              <w:spacing w:after="60" w:before="0" w:line="240" w:lineRule="auto"/>
            </w:pPr>
            <w:r>
              <w:rPr>
                <w:rFonts w:ascii="Arial" w:hAnsi="Arial" w:cs="Arial"/>
                <w:b w:val="0"/>
                <w:i w:val="0"/>
                <w:sz w:val="21"/>
                <w:lang w:val="en-GB"/>
              </w:rPr>
              <w:t>4) Municipalities share information about shelters and what to keep at home for an emergency.</w:t>
            </w:r>
          </w:p>
        </w:tc>
      </w:tr>
    </w:tbl>
    <w:p w14:paraId="1DC15921" w14:textId="77777777" w:rsidR="0006038E" w:rsidRPr="00314A95" w:rsidRDefault="0006038E">
      <w:pPr>
        <w:rPr>
          <w:rFonts w:ascii="Arial" w:hAnsi="Arial" w:cs="Arial"/>
          <w:b/>
          <w:lang w:val="lt-LT"/>
        </w:rPr>
      </w:pPr>
    </w:p>
    <w:p w14:paraId="68B942B4" w14:textId="77777777" w:rsidR="00E46291" w:rsidRPr="00314A95" w:rsidRDefault="00E46291">
      <w:pPr>
        <w:rPr>
          <w:rFonts w:ascii="Arial" w:hAnsi="Arial" w:cs="Arial"/>
          <w:lang w:val="lt-LT"/>
        </w:rPr>
      </w:pPr>
    </w:p>
    <w:p w14:paraId="2640DEEA" w14:textId="15D35F9C" w:rsidR="00D91763" w:rsidRPr="00314A95" w:rsidRDefault="00AE2AE2" w:rsidP="003F1335">
      <w:pPr>
        <w:rPr>
          <w:rFonts w:ascii="Arial" w:hAnsi="Arial" w:cs="Arial"/>
          <w:bCs/>
          <w:lang w:val="lt-LT"/>
        </w:rPr>
      </w:pPr>
      <w:r w:rsidRPr="00314A95">
        <w:rPr>
          <w:rFonts w:ascii="Arial" w:hAnsi="Arial" w:cs="Arial"/>
          <w:lang w:val="lt-LT"/>
        </w:rPr>
        <w:t xml:space="preserve">Task </w:t>
      </w:r>
      <w:r w:rsidR="00741FAD">
        <w:rPr>
          <w:rFonts w:ascii="Arial" w:hAnsi="Arial" w:cs="Arial"/>
          <w:lang w:val="lt-LT"/>
        </w:rPr>
        <w:t>2</w:t>
      </w:r>
      <w:r w:rsidRPr="00314A95">
        <w:rPr>
          <w:rFonts w:ascii="Arial" w:hAnsi="Arial" w:cs="Arial"/>
          <w:lang w:val="lt-LT"/>
        </w:rPr>
        <w:t xml:space="preserve">. Examine the strategic planning document of the Republic of Lithuania, the Lithuanian Progress Strategy “Lithuania 2050” (you can view an abbreviated / incomplete version) </w:t>
      </w:r>
      <w:hyperlink r:id="rId26" w:history="1">
        <w:r w:rsidR="00741FAD" w:rsidRPr="00741FAD">
          <w:rPr>
            <w:rStyle w:val="Hyperlink"/>
          </w:rPr>
          <w:t>x4ltEIwkfxE.pdf</w:t>
        </w:r>
      </w:hyperlink>
      <w:r w:rsidR="00741FAD">
        <w:t xml:space="preserve"> </w:t>
      </w:r>
      <w:r w:rsidR="004A5883" w:rsidRPr="00314A95">
        <w:rPr>
          <w:rFonts w:ascii="Arial" w:hAnsi="Arial" w:cs="Arial"/>
          <w:lang w:val="lt-LT"/>
        </w:rPr>
        <w:t xml:space="preserve"> </w:t>
      </w:r>
      <w:hyperlink r:id="rId27" w:history="1">
        <w:r w:rsidR="004A5883" w:rsidRPr="00314A95">
          <w:rPr>
            <w:rStyle w:val="Hyperlink"/>
            <w:rFonts w:ascii="Arial" w:hAnsi="Arial" w:cs="Arial"/>
            <w:lang w:val="lt-LT"/>
          </w:rPr>
          <w:t xml:space="preserve"> </w:t>
        </w:r>
      </w:hyperlink>
      <w:r w:rsidR="004A5883" w:rsidRPr="00314A95">
        <w:rPr>
          <w:rFonts w:ascii="Arial" w:hAnsi="Arial" w:cs="Arial"/>
          <w:lang w:val="lt-LT"/>
        </w:rPr>
        <w:t xml:space="preserve">. </w:t>
      </w:r>
      <w:r w:rsidR="00D91763" w:rsidRPr="00314A95">
        <w:rPr>
          <w:rFonts w:ascii="Arial" w:hAnsi="Arial" w:cs="Arial"/>
          <w:bCs/>
          <w:lang w:val="lt-LT"/>
        </w:rPr>
        <w:t>Based on the analysis (survey) data, answer the questions: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9"/>
        <w:gridCol w:w="7708"/>
      </w:tblGrid>
      <w:tr w:rsidR="004F586C" w:rsidRPr="00314A95" w14:paraId="2BC2459B" w14:textId="77777777" w:rsidTr="00275D18">
        <w:tc>
          <w:tcPr>
            <w:tcW w:w="1198" w:type="pct"/>
          </w:tcPr>
          <w:p w14:paraId="21B48396" w14:textId="77777777" w:rsidR="004F586C" w:rsidRPr="00314A95" w:rsidRDefault="004F586C" w:rsidP="00D91763">
            <w:pPr>
              <w:rPr>
                <w:rFonts w:ascii="Arial" w:hAnsi="Arial" w:cs="Arial"/>
                <w:lang w:val="lt-LT"/>
              </w:rPr>
            </w:pPr>
          </w:p>
        </w:tc>
        <w:tc>
          <w:tcPr>
            <w:tcW w:w="3802" w:type="pct"/>
          </w:tcPr>
          <w:p w14:paraId="2528DD66" w14:textId="77777777" w:rsidR="004F586C" w:rsidRPr="00314A95" w:rsidRDefault="004F586C" w:rsidP="00D91763">
            <w:pPr>
              <w:rPr>
                <w:rFonts w:ascii="Arial" w:hAnsi="Arial" w:cs="Arial"/>
                <w:lang w:val="lt-LT"/>
              </w:rPr>
            </w:pPr>
            <w:r w:rsidRPr="00314A95">
              <w:rPr>
                <w:rFonts w:ascii="Arial" w:hAnsi="Arial" w:cs="Arial"/>
                <w:lang w:val="lt-LT"/>
              </w:rPr>
              <w:t>Lithuania's Progress Strategy</w:t>
            </w:r>
          </w:p>
        </w:tc>
      </w:tr>
      <w:tr w:rsidR="004F586C" w:rsidRPr="00314A95" w14:paraId="3F89A219" w14:textId="77777777" w:rsidTr="00275D18">
        <w:tc>
          <w:tcPr>
            <w:tcW w:w="1198" w:type="pct"/>
          </w:tcPr>
          <w:p w14:paraId="56F523F3" w14:textId="6815D8B3" w:rsidR="004F586C" w:rsidRPr="00314A95" w:rsidRDefault="004A5883" w:rsidP="00D91763">
            <w:pPr>
              <w:rPr>
                <w:rFonts w:ascii="Arial" w:hAnsi="Arial" w:cs="Arial"/>
                <w:lang w:val="lt-LT"/>
              </w:rPr>
            </w:pPr>
            <w:r w:rsidRPr="00314A95">
              <w:rPr>
                <w:rFonts w:ascii="Arial" w:hAnsi="Arial" w:cs="Arial"/>
                <w:lang w:val="lt-LT"/>
              </w:rPr>
              <w:t>Name and explain at least 3 current challenges mentioned in the progress strategy.</w:t>
            </w:r>
          </w:p>
        </w:tc>
        <w:tc>
          <w:tcPr>
            <w:tcW w:w="3802" w:type="pct"/>
          </w:tcPr>
          <w:p w14:paraId="1570F68C" w14:textId="77777777" w:rsidR="004F586C" w:rsidRPr="00314A95" w:rsidRDefault="004F586C" w:rsidP="00D91763">
            <w:pPr>
              <w:spacing w:after="60" w:before="0" w:line="240" w:lineRule="auto"/>
              <w:rPr>
                <w:rFonts w:ascii="Arial" w:hAnsi="Arial" w:cs="Arial"/>
                <w:lang w:val="lt-LT"/>
              </w:rPr>
            </w:pPr>
            <w:r>
              <w:rPr>
                <w:rFonts w:ascii="Arial" w:hAnsi="Arial" w:cs="Arial"/>
                <w:b w:val="0"/>
                <w:i w:val="0"/>
                <w:sz w:val="21"/>
                <w:lang w:val="en-GB"/>
              </w:rPr>
              <w:t xml:space="preserve">1) </w:t>
            </w:r>
            <w:r>
              <w:rPr>
                <w:rFonts w:ascii="Arial" w:hAnsi="Arial" w:cs="Arial"/>
                <w:b/>
                <w:i w:val="0"/>
                <w:sz w:val="21"/>
                <w:lang w:val="en-GB"/>
              </w:rPr>
              <w:t>Shrinking and ageing population.</w:t>
            </w:r>
            <w:r>
              <w:rPr>
                <w:rFonts w:ascii="Arial" w:hAnsi="Arial" w:cs="Arial"/>
                <w:b w:val="0"/>
                <w:i w:val="0"/>
                <w:sz w:val="21"/>
                <w:lang w:val="en-GB"/>
              </w:rPr>
              <w:t xml:space="preserve"> If trends do not change, the population may fall to about 2.2 million by 2050, and the working-age group (15–64) to about 1.56 million, or 58% of residents. Fewer workers will have to support more older people, and regions lose people and services.</w:t>
            </w:r>
          </w:p>
          <w:p>
            <w:pPr>
              <w:spacing w:after="60" w:before="0" w:line="240" w:lineRule="auto"/>
            </w:pPr>
            <w:r>
              <w:rPr>
                <w:rFonts w:ascii="Arial" w:hAnsi="Arial" w:cs="Arial"/>
                <w:b w:val="0"/>
                <w:i w:val="0"/>
                <w:sz w:val="21"/>
                <w:lang w:val="en-GB"/>
              </w:rPr>
              <w:t xml:space="preserve">2) </w:t>
            </w:r>
            <w:r>
              <w:rPr>
                <w:rFonts w:ascii="Arial" w:hAnsi="Arial" w:cs="Arial"/>
                <w:b/>
                <w:i w:val="0"/>
                <w:sz w:val="21"/>
                <w:lang w:val="en-GB"/>
              </w:rPr>
              <w:t>Low trust and weak social capital.</w:t>
            </w:r>
            <w:r>
              <w:rPr>
                <w:rFonts w:ascii="Arial" w:hAnsi="Arial" w:cs="Arial"/>
                <w:b w:val="0"/>
                <w:i w:val="0"/>
                <w:sz w:val="21"/>
                <w:lang w:val="en-GB"/>
              </w:rPr>
              <w:t xml:space="preserve"> Many citizens do not trust state institutions, and only about half of the population, especially young people, view how democracy works positively. Without trust, reforms and public participation are hard.</w:t>
            </w:r>
          </w:p>
          <w:p>
            <w:pPr>
              <w:spacing w:after="60" w:before="0" w:line="240" w:lineRule="auto"/>
            </w:pPr>
            <w:r>
              <w:rPr>
                <w:rFonts w:ascii="Arial" w:hAnsi="Arial" w:cs="Arial"/>
                <w:b w:val="0"/>
                <w:i w:val="0"/>
                <w:sz w:val="21"/>
                <w:lang w:val="en-GB"/>
              </w:rPr>
              <w:t xml:space="preserve">3) </w:t>
            </w:r>
            <w:r>
              <w:rPr>
                <w:rFonts w:ascii="Arial" w:hAnsi="Arial" w:cs="Arial"/>
                <w:b/>
                <w:i w:val="0"/>
                <w:sz w:val="21"/>
                <w:lang w:val="en-GB"/>
              </w:rPr>
              <w:t>Poverty, social exclusion and inequality.</w:t>
            </w:r>
            <w:r>
              <w:rPr>
                <w:rFonts w:ascii="Arial" w:hAnsi="Arial" w:cs="Arial"/>
                <w:b w:val="0"/>
                <w:i w:val="0"/>
                <w:sz w:val="21"/>
                <w:lang w:val="en-GB"/>
              </w:rPr>
              <w:t xml:space="preserve"> Income inequality and the risk of poverty are high compared with the EU. This divides society and makes it more vulnerable.</w:t>
            </w:r>
          </w:p>
          <w:p>
            <w:pPr>
              <w:spacing w:after="60" w:before="0" w:line="240" w:lineRule="auto"/>
            </w:pPr>
            <w:r>
              <w:rPr>
                <w:rFonts w:ascii="Arial" w:hAnsi="Arial" w:cs="Arial"/>
                <w:b w:val="0"/>
                <w:i w:val="0"/>
                <w:sz w:val="21"/>
                <w:lang w:val="en-GB"/>
              </w:rPr>
              <w:t xml:space="preserve">4) </w:t>
            </w:r>
            <w:r>
              <w:rPr>
                <w:rFonts w:ascii="Arial" w:hAnsi="Arial" w:cs="Arial"/>
                <w:b/>
                <w:i w:val="0"/>
                <w:sz w:val="21"/>
                <w:lang w:val="en-GB"/>
              </w:rPr>
              <w:t>Geopolitical threats.</w:t>
            </w:r>
            <w:r>
              <w:rPr>
                <w:rFonts w:ascii="Arial" w:hAnsi="Arial" w:cs="Arial"/>
                <w:b w:val="0"/>
                <w:i w:val="0"/>
                <w:sz w:val="21"/>
                <w:lang w:val="en-GB"/>
              </w:rPr>
              <w:t xml:space="preserve"> Russia's war against Ukraine made questions about the security and future of the state very sharp.</w:t>
            </w:r>
          </w:p>
          <w:p>
            <w:pPr>
              <w:spacing w:after="60" w:before="0" w:line="240" w:lineRule="auto"/>
            </w:pPr>
            <w:r>
              <w:rPr>
                <w:rFonts w:ascii="Arial" w:hAnsi="Arial" w:cs="Arial"/>
                <w:b w:val="0"/>
                <w:i w:val="0"/>
                <w:sz w:val="21"/>
                <w:lang w:val="en-GB"/>
              </w:rPr>
              <w:t xml:space="preserve">5) </w:t>
            </w:r>
            <w:r>
              <w:rPr>
                <w:rFonts w:ascii="Arial" w:hAnsi="Arial" w:cs="Arial"/>
                <w:b/>
                <w:i w:val="0"/>
                <w:sz w:val="21"/>
                <w:lang w:val="en-GB"/>
              </w:rPr>
              <w:t>Climate crisis and fast technological change.</w:t>
            </w:r>
            <w:r>
              <w:rPr>
                <w:rFonts w:ascii="Arial" w:hAnsi="Arial" w:cs="Arial"/>
                <w:b w:val="0"/>
                <w:i w:val="0"/>
                <w:sz w:val="21"/>
                <w:lang w:val="en-GB"/>
              </w:rPr>
              <w:t xml:space="preserve"> The economy has to reach climate neutrality by 2050, which means changing energy, industry, transport, construction and agriculture. At the same time digital transformation is changing jobs and the skills people need.</w:t>
            </w:r>
          </w:p>
        </w:tc>
      </w:tr>
      <w:tr w:rsidR="004F586C" w:rsidRPr="00314A95" w14:paraId="1A8824C2" w14:textId="77777777" w:rsidTr="00275D18">
        <w:tc>
          <w:tcPr>
            <w:tcW w:w="1198" w:type="pct"/>
          </w:tcPr>
          <w:p w14:paraId="1E1C76D2" w14:textId="388D4336" w:rsidR="004F586C" w:rsidRPr="00314A95" w:rsidRDefault="004A5883" w:rsidP="00D91763">
            <w:pPr>
              <w:rPr>
                <w:rFonts w:ascii="Arial" w:hAnsi="Arial" w:cs="Arial"/>
                <w:lang w:val="lt-LT"/>
              </w:rPr>
            </w:pPr>
            <w:r w:rsidRPr="00314A95">
              <w:rPr>
                <w:rFonts w:ascii="Arial" w:hAnsi="Arial" w:cs="Arial"/>
                <w:lang w:val="lt-LT"/>
              </w:rPr>
              <w:t>What are the expected development directions?</w:t>
            </w:r>
          </w:p>
        </w:tc>
        <w:tc>
          <w:tcPr>
            <w:tcW w:w="3802" w:type="pct"/>
          </w:tcPr>
          <w:p w14:paraId="450712AE" w14:textId="77777777" w:rsidR="004F586C" w:rsidRPr="00314A95" w:rsidRDefault="004F586C" w:rsidP="00D91763">
            <w:pPr>
              <w:spacing w:after="60" w:before="0" w:line="240" w:lineRule="auto"/>
              <w:rPr>
                <w:rFonts w:ascii="Arial" w:hAnsi="Arial" w:cs="Arial"/>
                <w:lang w:val="lt-LT"/>
              </w:rPr>
            </w:pPr>
            <w:r>
              <w:rPr>
                <w:rFonts w:ascii="Arial" w:hAnsi="Arial" w:cs="Arial"/>
                <w:b w:val="0"/>
                <w:i w:val="0"/>
                <w:sz w:val="21"/>
                <w:lang w:val="en-GB"/>
              </w:rPr>
              <w:t>The strategy sets five strategic ambitions. They are the five directions of the country's development, and each one covers a policy area:</w:t>
            </w:r>
          </w:p>
          <w:p>
            <w:pPr>
              <w:spacing w:after="60" w:before="0" w:line="240" w:lineRule="auto"/>
            </w:pPr>
            <w:r>
              <w:rPr>
                <w:rFonts w:ascii="Arial" w:hAnsi="Arial" w:cs="Arial"/>
                <w:b w:val="0"/>
                <w:i w:val="0"/>
                <w:sz w:val="21"/>
                <w:lang w:val="en-GB"/>
              </w:rPr>
              <w:t>1) democratic culture and governance: citizen-driven democracy;</w:t>
            </w:r>
          </w:p>
          <w:p>
            <w:pPr>
              <w:spacing w:after="60" w:before="0" w:line="240" w:lineRule="auto"/>
            </w:pPr>
            <w:r>
              <w:rPr>
                <w:rFonts w:ascii="Arial" w:hAnsi="Arial" w:cs="Arial"/>
                <w:b w:val="0"/>
                <w:i w:val="0"/>
                <w:sz w:val="21"/>
                <w:lang w:val="en-GB"/>
              </w:rPr>
              <w:t>2) education, health and social policy: a future-ready, resilient and free person in a caring community;</w:t>
            </w:r>
          </w:p>
          <w:p>
            <w:pPr>
              <w:spacing w:after="60" w:before="0" w:line="240" w:lineRule="auto"/>
            </w:pPr>
            <w:r>
              <w:rPr>
                <w:rFonts w:ascii="Arial" w:hAnsi="Arial" w:cs="Arial"/>
                <w:b w:val="0"/>
                <w:i w:val="0"/>
                <w:sz w:val="21"/>
                <w:lang w:val="en-GB"/>
              </w:rPr>
              <w:t>3) economy, science and culture: Lithuanian business, science and art create high value;</w:t>
            </w:r>
          </w:p>
          <w:p>
            <w:pPr>
              <w:spacing w:after="60" w:before="0" w:line="240" w:lineRule="auto"/>
            </w:pPr>
            <w:r>
              <w:rPr>
                <w:rFonts w:ascii="Arial" w:hAnsi="Arial" w:cs="Arial"/>
                <w:b w:val="0"/>
                <w:i w:val="0"/>
                <w:sz w:val="21"/>
                <w:lang w:val="en-GB"/>
              </w:rPr>
              <w:t>4) security and foreign policy: a resilient state and an influential global actor;</w:t>
            </w:r>
          </w:p>
          <w:p>
            <w:pPr>
              <w:spacing w:after="60" w:before="0" w:line="240" w:lineRule="auto"/>
            </w:pPr>
            <w:r>
              <w:rPr>
                <w:rFonts w:ascii="Arial" w:hAnsi="Arial" w:cs="Arial"/>
                <w:b w:val="0"/>
                <w:i w:val="0"/>
                <w:sz w:val="21"/>
                <w:lang w:val="en-GB"/>
              </w:rPr>
              <w:t>5) regional development: a united country with harmonious and balanced development.</w:t>
            </w:r>
          </w:p>
          <w:p>
            <w:pPr>
              <w:spacing w:after="60" w:before="0" w:line="240" w:lineRule="auto"/>
            </w:pPr>
            <w:r>
              <w:rPr>
                <w:rFonts w:ascii="Arial" w:hAnsi="Arial" w:cs="Arial"/>
                <w:b w:val="0"/>
                <w:i w:val="0"/>
                <w:sz w:val="21"/>
                <w:lang w:val="en-GB"/>
              </w:rPr>
              <w:t>All five rest on two foundational principles that apply in every area. One of them is care for the natural world: climate neutrality, adapting to climate change and protecting biodiversity.</w:t>
            </w:r>
          </w:p>
          <w:p>
            <w:pPr>
              <w:spacing w:after="60" w:before="0" w:line="240" w:lineRule="auto"/>
            </w:pPr>
            <w:r>
              <w:rPr>
                <w:rFonts w:ascii="Arial" w:hAnsi="Arial" w:cs="Arial"/>
                <w:b w:val="0"/>
                <w:i w:val="0"/>
                <w:sz w:val="21"/>
                <w:lang w:val="en-GB"/>
              </w:rPr>
              <w:t>The strategic initiatives are planned in periods: 2023–2035 for innovation and experimentation, 2035–2045 for a breakthrough, and 2045–2050 as the final stage.</w:t>
            </w:r>
          </w:p>
        </w:tc>
      </w:tr>
      <w:tr w:rsidR="004F586C" w:rsidRPr="00314A95" w14:paraId="365DAC44" w14:textId="77777777" w:rsidTr="00275D18">
        <w:tc>
          <w:tcPr>
            <w:tcW w:w="1198" w:type="pct"/>
          </w:tcPr>
          <w:p w14:paraId="7ECD0978" w14:textId="2EF13539" w:rsidR="004F586C" w:rsidRPr="00314A95" w:rsidRDefault="004A5883" w:rsidP="00D91763">
            <w:pPr>
              <w:rPr>
                <w:rFonts w:ascii="Arial" w:hAnsi="Arial" w:cs="Arial"/>
                <w:lang w:val="lt-LT"/>
              </w:rPr>
            </w:pPr>
            <w:r w:rsidRPr="00314A95">
              <w:rPr>
                <w:rFonts w:ascii="Arial" w:hAnsi="Arial" w:cs="Arial"/>
                <w:lang w:val="lt-LT"/>
              </w:rPr>
              <w:t>What is Lithuania's vision?</w:t>
            </w:r>
          </w:p>
        </w:tc>
        <w:tc>
          <w:tcPr>
            <w:tcW w:w="3802" w:type="pct"/>
          </w:tcPr>
          <w:p w14:paraId="1AF14E83" w14:textId="77777777" w:rsidR="004F586C" w:rsidRPr="00314A95" w:rsidRDefault="004F586C" w:rsidP="00D91763">
            <w:pPr>
              <w:spacing w:after="60" w:before="0" w:line="240" w:lineRule="auto"/>
              <w:rPr>
                <w:rFonts w:ascii="Arial" w:hAnsi="Arial" w:cs="Arial"/>
                <w:lang w:val="lt-LT"/>
              </w:rPr>
            </w:pPr>
            <w:r>
              <w:rPr>
                <w:rFonts w:ascii="Arial" w:hAnsi="Arial" w:cs="Arial"/>
                <w:b/>
                <w:i w:val="0"/>
                <w:sz w:val="21"/>
                <w:lang w:val="en-GB"/>
              </w:rPr>
              <w:t>“Guiding light – Lithuania: the country where I want to live and create.”</w:t>
            </w:r>
          </w:p>
          <w:p>
            <w:pPr>
              <w:spacing w:after="60" w:before="0" w:line="240" w:lineRule="auto"/>
            </w:pPr>
            <w:r>
              <w:rPr>
                <w:rFonts w:ascii="Arial" w:hAnsi="Arial" w:cs="Arial"/>
                <w:b w:val="0"/>
                <w:i w:val="0"/>
                <w:sz w:val="21"/>
                <w:lang w:val="en-GB"/>
              </w:rPr>
              <w:t>By 2050 Lithuanian society should be strong and self-confident. Most citizens trust state institutions, which work flexibly and reliably, have a clear strategy and are open to innovation. Every person can adapt to change, choose their own life path, take care of themselves and others, and rely on a community built on solidarity between generations.</w:t>
            </w:r>
          </w:p>
          <w:p>
            <w:pPr>
              <w:spacing w:after="60" w:before="0" w:line="240" w:lineRule="auto"/>
            </w:pPr>
            <w:r>
              <w:rPr>
                <w:rFonts w:ascii="Arial" w:hAnsi="Arial" w:cs="Arial"/>
                <w:b w:val="0"/>
                <w:i w:val="0"/>
                <w:sz w:val="21"/>
                <w:lang w:val="en-GB"/>
              </w:rPr>
              <w:t>The vision was made with the foresight method: several future scenarios were built and discussed with experts and citizens, and a shared picture of the desired future was formed from them.</w:t>
            </w:r>
          </w:p>
        </w:tc>
      </w:tr>
      <w:tr w:rsidR="00F859C1" w:rsidRPr="00314A95" w14:paraId="33178F61" w14:textId="77777777" w:rsidTr="00275D18">
        <w:tc>
          <w:tcPr>
            <w:tcW w:w="5000" w:type="pct"/>
            <w:gridSpan w:val="2"/>
          </w:tcPr>
          <w:p w14:paraId="18A5FE40" w14:textId="4A75456E" w:rsidR="00F859C1" w:rsidRPr="00314A95" w:rsidRDefault="00F859C1" w:rsidP="00F859C1">
            <w:pPr>
              <w:rPr>
                <w:rFonts w:ascii="Arial" w:hAnsi="Arial" w:cs="Arial"/>
                <w:lang w:val="lt-LT"/>
              </w:rPr>
            </w:pPr>
            <w:r w:rsidRPr="00314A95">
              <w:rPr>
                <w:rFonts w:ascii="Arial" w:hAnsi="Arial" w:cs="Arial"/>
                <w:lang w:val="lt-LT"/>
              </w:rPr>
              <w:t>In each of the areas, name at least three preliminary steps:</w:t>
            </w:r>
          </w:p>
        </w:tc>
      </w:tr>
      <w:tr w:rsidR="00F859C1" w:rsidRPr="00314A95" w14:paraId="6AA1DECF" w14:textId="77777777" w:rsidTr="00275D18">
        <w:tc>
          <w:tcPr>
            <w:tcW w:w="1198" w:type="pct"/>
          </w:tcPr>
          <w:p w14:paraId="79115871" w14:textId="1FE92DAF" w:rsidR="00F859C1" w:rsidRPr="00314A95" w:rsidRDefault="00F859C1" w:rsidP="007A20CE">
            <w:pPr>
              <w:jc w:val="right"/>
              <w:rPr>
                <w:rFonts w:ascii="Arial" w:hAnsi="Arial" w:cs="Arial"/>
                <w:lang w:val="lt-LT"/>
              </w:rPr>
            </w:pPr>
            <w:r w:rsidRPr="00314A95">
              <w:rPr>
                <w:rFonts w:ascii="Arial" w:hAnsi="Arial" w:cs="Arial"/>
                <w:lang w:val="lt-LT"/>
              </w:rPr>
              <w:t>Citizen-driven democracy: trustworthy, open, inclusive</w:t>
            </w:r>
          </w:p>
        </w:tc>
        <w:tc>
          <w:tcPr>
            <w:tcW w:w="3802" w:type="pct"/>
          </w:tcPr>
          <w:p w14:paraId="297AE4A2"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Strengthen civic education and give people real ways to take part in decisions: public consultations, citizens' assemblies, participatory budgets in municipalities.</w:t>
            </w:r>
          </w:p>
          <w:p>
            <w:pPr>
              <w:spacing w:after="60" w:before="0" w:line="240" w:lineRule="auto"/>
            </w:pPr>
            <w:r>
              <w:rPr>
                <w:rFonts w:ascii="Arial" w:hAnsi="Arial" w:cs="Arial"/>
                <w:b w:val="0"/>
                <w:i w:val="0"/>
                <w:sz w:val="21"/>
                <w:lang w:val="en-GB"/>
              </w:rPr>
              <w:t>2) Reform public governance so it is strategic, flexible and effective, with a clear accountability model for state institutions.</w:t>
            </w:r>
          </w:p>
          <w:p>
            <w:pPr>
              <w:spacing w:after="60" w:before="0" w:line="240" w:lineRule="auto"/>
            </w:pPr>
            <w:r>
              <w:rPr>
                <w:rFonts w:ascii="Arial" w:hAnsi="Arial" w:cs="Arial"/>
                <w:b w:val="0"/>
                <w:i w:val="0"/>
                <w:sz w:val="21"/>
                <w:lang w:val="en-GB"/>
              </w:rPr>
              <w:t>3) Decentralise: pass more decisions to municipalities and communities and build partnership with NGOs and business.</w:t>
            </w:r>
          </w:p>
          <w:p>
            <w:pPr>
              <w:spacing w:after="60" w:before="0" w:line="240" w:lineRule="auto"/>
            </w:pPr>
            <w:r>
              <w:rPr>
                <w:rFonts w:ascii="Arial" w:hAnsi="Arial" w:cs="Arial"/>
                <w:b w:val="0"/>
                <w:i w:val="0"/>
                <w:sz w:val="21"/>
                <w:lang w:val="en-GB"/>
              </w:rPr>
              <w:t>4) Open government: transparency, open data and fighting corruption to raise trust.</w:t>
            </w:r>
          </w:p>
        </w:tc>
      </w:tr>
      <w:tr w:rsidR="00F859C1" w:rsidRPr="00314A95" w14:paraId="4C88EC5F" w14:textId="77777777" w:rsidTr="00275D18">
        <w:tc>
          <w:tcPr>
            <w:tcW w:w="1198" w:type="pct"/>
          </w:tcPr>
          <w:p w14:paraId="1520E89C" w14:textId="5BE2A279" w:rsidR="00F859C1" w:rsidRPr="00314A95" w:rsidRDefault="00F859C1" w:rsidP="007A20CE">
            <w:pPr>
              <w:jc w:val="right"/>
              <w:rPr>
                <w:rFonts w:ascii="Arial" w:hAnsi="Arial" w:cs="Arial"/>
                <w:lang w:val="lt-LT"/>
              </w:rPr>
            </w:pPr>
            <w:r w:rsidRPr="00314A95">
              <w:rPr>
                <w:rFonts w:ascii="Arial" w:hAnsi="Arial" w:cs="Arial"/>
                <w:lang w:val="lt-LT"/>
              </w:rPr>
              <w:lastRenderedPageBreak/>
              <w:t>A future-ready, resilient and free person living in a community that cares</w:t>
            </w:r>
          </w:p>
        </w:tc>
        <w:tc>
          <w:tcPr>
            <w:tcW w:w="3802" w:type="pct"/>
          </w:tcPr>
          <w:p w14:paraId="2A885DF3"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Create one coordinated lifelong learning system, so people of any age can learn new skills.</w:t>
            </w:r>
          </w:p>
          <w:p>
            <w:pPr>
              <w:spacing w:after="60" w:before="0" w:line="240" w:lineRule="auto"/>
            </w:pPr>
            <w:r>
              <w:rPr>
                <w:rFonts w:ascii="Arial" w:hAnsi="Arial" w:cs="Arial"/>
                <w:b w:val="0"/>
                <w:i w:val="0"/>
                <w:sz w:val="21"/>
                <w:lang w:val="en-GB"/>
              </w:rPr>
              <w:t>2) Put mental health, well-being and disease prevention at the centre of health policy.</w:t>
            </w:r>
          </w:p>
          <w:p>
            <w:pPr>
              <w:spacing w:after="60" w:before="0" w:line="240" w:lineRule="auto"/>
            </w:pPr>
            <w:r>
              <w:rPr>
                <w:rFonts w:ascii="Arial" w:hAnsi="Arial" w:cs="Arial"/>
                <w:b w:val="0"/>
                <w:i w:val="0"/>
                <w:sz w:val="21"/>
                <w:lang w:val="en-GB"/>
              </w:rPr>
              <w:t>3) Develop community-based care and more chances for older people to work, learn and take part in social life.</w:t>
            </w:r>
          </w:p>
          <w:p>
            <w:pPr>
              <w:spacing w:after="60" w:before="0" w:line="240" w:lineRule="auto"/>
            </w:pPr>
            <w:r>
              <w:rPr>
                <w:rFonts w:ascii="Arial" w:hAnsi="Arial" w:cs="Arial"/>
                <w:b w:val="0"/>
                <w:i w:val="0"/>
                <w:sz w:val="21"/>
                <w:lang w:val="en-GB"/>
              </w:rPr>
              <w:t>4) Reduce poverty and social exclusion and support families.</w:t>
            </w:r>
          </w:p>
        </w:tc>
      </w:tr>
      <w:tr w:rsidR="00F859C1" w:rsidRPr="00314A95" w14:paraId="5BF77F82" w14:textId="77777777" w:rsidTr="00275D18">
        <w:tc>
          <w:tcPr>
            <w:tcW w:w="1198" w:type="pct"/>
          </w:tcPr>
          <w:p w14:paraId="04080720" w14:textId="18E6D1A6" w:rsidR="00F859C1" w:rsidRPr="00314A95" w:rsidRDefault="00F859C1" w:rsidP="007A20CE">
            <w:pPr>
              <w:jc w:val="right"/>
              <w:rPr>
                <w:rFonts w:ascii="Arial" w:hAnsi="Arial" w:cs="Arial"/>
                <w:lang w:val="lt-LT"/>
              </w:rPr>
            </w:pPr>
            <w:r w:rsidRPr="00314A95">
              <w:rPr>
                <w:rFonts w:ascii="Arial" w:hAnsi="Arial" w:cs="Arial"/>
                <w:lang w:val="lt-LT"/>
              </w:rPr>
              <w:t>Lithuanian business, science and art sustainably create high value for Lithuania and the world</w:t>
            </w:r>
          </w:p>
        </w:tc>
        <w:tc>
          <w:tcPr>
            <w:tcW w:w="3802" w:type="pct"/>
          </w:tcPr>
          <w:p w14:paraId="430618F0"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Invest more in research and innovation and connect science with business.</w:t>
            </w:r>
          </w:p>
          <w:p>
            <w:pPr>
              <w:spacing w:after="60" w:before="0" w:line="240" w:lineRule="auto"/>
            </w:pPr>
            <w:r>
              <w:rPr>
                <w:rFonts w:ascii="Arial" w:hAnsi="Arial" w:cs="Arial"/>
                <w:b w:val="0"/>
                <w:i w:val="0"/>
                <w:sz w:val="21"/>
                <w:lang w:val="en-GB"/>
              </w:rPr>
              <w:t>2) Make Lithuania a home for Lithuanian and global talent: attract specialists and returning emigrants.</w:t>
            </w:r>
          </w:p>
          <w:p>
            <w:pPr>
              <w:spacing w:after="60" w:before="0" w:line="240" w:lineRule="auto"/>
            </w:pPr>
            <w:r>
              <w:rPr>
                <w:rFonts w:ascii="Arial" w:hAnsi="Arial" w:cs="Arial"/>
                <w:b w:val="0"/>
                <w:i w:val="0"/>
                <w:sz w:val="21"/>
                <w:lang w:val="en-GB"/>
              </w:rPr>
              <w:t>3) Support the green and digital transformation of industry so that exports have higher added value.</w:t>
            </w:r>
          </w:p>
          <w:p>
            <w:pPr>
              <w:spacing w:after="60" w:before="0" w:line="240" w:lineRule="auto"/>
            </w:pPr>
            <w:r>
              <w:rPr>
                <w:rFonts w:ascii="Arial" w:hAnsi="Arial" w:cs="Arial"/>
                <w:b w:val="0"/>
                <w:i w:val="0"/>
                <w:sz w:val="21"/>
                <w:lang w:val="en-GB"/>
              </w:rPr>
              <w:t>4) Support creative and cultural industries and help Lithuanian culture reach the world.</w:t>
            </w:r>
          </w:p>
        </w:tc>
      </w:tr>
      <w:tr w:rsidR="00F859C1" w:rsidRPr="00314A95" w14:paraId="549AE17E" w14:textId="77777777" w:rsidTr="00275D18">
        <w:tc>
          <w:tcPr>
            <w:tcW w:w="1198" w:type="pct"/>
          </w:tcPr>
          <w:p w14:paraId="6B2F8BC9" w14:textId="7789BBFD" w:rsidR="00F859C1" w:rsidRPr="00314A95" w:rsidRDefault="00F859C1" w:rsidP="007A20CE">
            <w:pPr>
              <w:jc w:val="right"/>
              <w:rPr>
                <w:rFonts w:ascii="Arial" w:hAnsi="Arial" w:cs="Arial"/>
                <w:lang w:val="lt-LT"/>
              </w:rPr>
            </w:pPr>
            <w:r w:rsidRPr="00314A95">
              <w:rPr>
                <w:rFonts w:ascii="Arial" w:hAnsi="Arial" w:cs="Arial"/>
                <w:lang w:val="lt-LT"/>
              </w:rPr>
              <w:t>A resilient state, a constructive and influential actor in global politics</w:t>
            </w:r>
          </w:p>
        </w:tc>
        <w:tc>
          <w:tcPr>
            <w:tcW w:w="3802" w:type="pct"/>
          </w:tcPr>
          <w:p w14:paraId="1A128C3E"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Build strong defence capabilities and a total defence model where the state and citizens act together.</w:t>
            </w:r>
          </w:p>
          <w:p>
            <w:pPr>
              <w:spacing w:after="60" w:before="0" w:line="240" w:lineRule="auto"/>
            </w:pPr>
            <w:r>
              <w:rPr>
                <w:rFonts w:ascii="Arial" w:hAnsi="Arial" w:cs="Arial"/>
                <w:b w:val="0"/>
                <w:i w:val="0"/>
                <w:sz w:val="21"/>
                <w:lang w:val="en-GB"/>
              </w:rPr>
              <w:t>2) Ensure energy independence and protect critical infrastructure and cyberspace.</w:t>
            </w:r>
          </w:p>
          <w:p>
            <w:pPr>
              <w:spacing w:after="60" w:before="0" w:line="240" w:lineRule="auto"/>
            </w:pPr>
            <w:r>
              <w:rPr>
                <w:rFonts w:ascii="Arial" w:hAnsi="Arial" w:cs="Arial"/>
                <w:b w:val="0"/>
                <w:i w:val="0"/>
                <w:sz w:val="21"/>
                <w:lang w:val="en-GB"/>
              </w:rPr>
              <w:t>3) Run an active foreign policy: shape the international agenda together with the EU and NATO, support Ukraine and other democratic partners, and fight disinformation.</w:t>
            </w:r>
          </w:p>
        </w:tc>
      </w:tr>
      <w:tr w:rsidR="00F859C1" w:rsidRPr="00314A95" w14:paraId="4E95A464" w14:textId="77777777" w:rsidTr="00275D18">
        <w:tc>
          <w:tcPr>
            <w:tcW w:w="1198" w:type="pct"/>
          </w:tcPr>
          <w:p w14:paraId="45CB531C" w14:textId="17EA244C" w:rsidR="00F859C1" w:rsidRPr="00314A95" w:rsidRDefault="00F859C1" w:rsidP="007A20CE">
            <w:pPr>
              <w:jc w:val="right"/>
              <w:rPr>
                <w:rFonts w:ascii="Arial" w:hAnsi="Arial" w:cs="Arial"/>
                <w:lang w:val="lt-LT"/>
              </w:rPr>
            </w:pPr>
            <w:r w:rsidRPr="00314A95">
              <w:rPr>
                <w:rFonts w:ascii="Arial" w:hAnsi="Arial" w:cs="Arial"/>
                <w:lang w:val="lt-LT"/>
              </w:rPr>
              <w:t>A united country, harmonious and balanced development</w:t>
            </w:r>
          </w:p>
        </w:tc>
        <w:tc>
          <w:tcPr>
            <w:tcW w:w="3802" w:type="pct"/>
          </w:tcPr>
          <w:p w14:paraId="24403749"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Develop regional centres so that good public services (education, health care, culture) can be reached across the whole country.</w:t>
            </w:r>
          </w:p>
          <w:p>
            <w:pPr>
              <w:spacing w:after="60" w:before="0" w:line="240" w:lineRule="auto"/>
            </w:pPr>
            <w:r>
              <w:rPr>
                <w:rFonts w:ascii="Arial" w:hAnsi="Arial" w:cs="Arial"/>
                <w:b w:val="0"/>
                <w:i w:val="0"/>
                <w:sz w:val="21"/>
                <w:lang w:val="en-GB"/>
              </w:rPr>
              <w:t>2) Improve transport links between regions and with Europe (public transport, Rail Baltica).</w:t>
            </w:r>
          </w:p>
          <w:p>
            <w:pPr>
              <w:spacing w:after="60" w:before="0" w:line="240" w:lineRule="auto"/>
            </w:pPr>
            <w:r>
              <w:rPr>
                <w:rFonts w:ascii="Arial" w:hAnsi="Arial" w:cs="Arial"/>
                <w:b w:val="0"/>
                <w:i w:val="0"/>
                <w:sz w:val="21"/>
                <w:lang w:val="en-GB"/>
              </w:rPr>
              <w:t>3) Reduce the gap between big cities and regions and support cooperation between municipalities and local communities.</w:t>
            </w:r>
          </w:p>
        </w:tc>
      </w:tr>
      <w:tr w:rsidR="005E3FEB" w:rsidRPr="00314A95" w14:paraId="54E445D6" w14:textId="77777777" w:rsidTr="00275D18">
        <w:tc>
          <w:tcPr>
            <w:tcW w:w="1198" w:type="pct"/>
          </w:tcPr>
          <w:p w14:paraId="765030B5" w14:textId="594ACCC5" w:rsidR="005E3FEB" w:rsidRPr="00314A95" w:rsidRDefault="005E3FEB" w:rsidP="00F859C1">
            <w:pPr>
              <w:rPr>
                <w:rFonts w:ascii="Arial" w:hAnsi="Arial" w:cs="Arial"/>
                <w:lang w:val="lt-LT"/>
              </w:rPr>
            </w:pPr>
            <w:r w:rsidRPr="00314A95">
              <w:rPr>
                <w:rFonts w:ascii="Arial" w:hAnsi="Arial" w:cs="Arial"/>
                <w:lang w:val="lt-LT"/>
              </w:rPr>
              <w:t xml:space="preserve">How will the implementation of the “Lithuania 2025” strategy be supervised (monitored) and evaluated </w:t>
            </w:r>
          </w:p>
        </w:tc>
        <w:tc>
          <w:tcPr>
            <w:tcW w:w="3802" w:type="pct"/>
          </w:tcPr>
          <w:p w14:paraId="7D698A1C" w14:textId="77777777" w:rsidR="005E3FEB" w:rsidRPr="00314A95" w:rsidRDefault="005E3FEB" w:rsidP="00F859C1">
            <w:pPr>
              <w:spacing w:after="60" w:before="0" w:line="240" w:lineRule="auto"/>
              <w:rPr>
                <w:rFonts w:ascii="Arial" w:hAnsi="Arial" w:cs="Arial"/>
                <w:lang w:val="lt-LT"/>
              </w:rPr>
            </w:pPr>
            <w:r>
              <w:rPr>
                <w:rFonts w:ascii="Arial" w:hAnsi="Arial" w:cs="Arial"/>
                <w:b w:val="0"/>
                <w:i w:val="0"/>
                <w:sz w:val="21"/>
                <w:lang w:val="en-GB"/>
              </w:rPr>
              <w:t>1) The strategy is carried out through the 10-year National Progress Plan, which sets strategic goals, progress targets and a financial projection. Development programmes and the institutions' strategic action plans turn it into concrete measures. The Government approved an implementation concept on 30 April 2025.</w:t>
            </w:r>
          </w:p>
          <w:p>
            <w:pPr>
              <w:spacing w:after="60" w:before="0" w:line="240" w:lineRule="auto"/>
            </w:pPr>
            <w:r>
              <w:rPr>
                <w:rFonts w:ascii="Arial" w:hAnsi="Arial" w:cs="Arial"/>
                <w:b w:val="0"/>
                <w:i w:val="0"/>
                <w:sz w:val="21"/>
                <w:lang w:val="en-GB"/>
              </w:rPr>
              <w:t>2) The State Progress Council (a Government commission) monitors implementation and evaluates progress of both “Lithuania 2050” and the National Progress Plan. Progress is discussed at the Council once a year.</w:t>
            </w:r>
          </w:p>
          <w:p>
            <w:pPr>
              <w:spacing w:after="60" w:before="0" w:line="240" w:lineRule="auto"/>
            </w:pPr>
            <w:r>
              <w:rPr>
                <w:rFonts w:ascii="Arial" w:hAnsi="Arial" w:cs="Arial"/>
                <w:b w:val="0"/>
                <w:i w:val="0"/>
                <w:sz w:val="21"/>
                <w:lang w:val="en-GB"/>
              </w:rPr>
              <w:t>3) Oversight is shared by the State Progress Council, the Seimas Committee for the Future and the Government.</w:t>
            </w:r>
          </w:p>
          <w:p>
            <w:pPr>
              <w:spacing w:after="60" w:before="0" w:line="240" w:lineRule="auto"/>
            </w:pPr>
            <w:r>
              <w:rPr>
                <w:rFonts w:ascii="Arial" w:hAnsi="Arial" w:cs="Arial"/>
                <w:b w:val="0"/>
                <w:i w:val="0"/>
                <w:sz w:val="21"/>
                <w:lang w:val="en-GB"/>
              </w:rPr>
              <w:t>4) Progress is measured with 28 quantitative and qualitative impact indicators. New regular surveys started in 2024 (the Lithuanian Long-Term Social Survey and the Fertility and Family Survey) to collect data that was missing.</w:t>
            </w:r>
          </w:p>
          <w:p>
            <w:pPr>
              <w:spacing w:after="60" w:before="0" w:line="240" w:lineRule="auto"/>
            </w:pPr>
            <w:r>
              <w:rPr>
                <w:rFonts w:ascii="Arial" w:hAnsi="Arial" w:cs="Arial"/>
                <w:b w:val="0"/>
                <w:i w:val="0"/>
                <w:sz w:val="21"/>
                <w:lang w:val="en-GB"/>
              </w:rPr>
              <w:t>5) Since 2026 the public “LT2050 Dashboard” of the State Data Agency shows how each indicator is changing and whether the trend is good or bad.</w:t>
            </w:r>
          </w:p>
          <w:p>
            <w:pPr>
              <w:spacing w:after="60" w:before="0" w:line="240" w:lineRule="auto"/>
            </w:pPr>
            <w:r>
              <w:rPr>
                <w:rFonts w:ascii="Arial" w:hAnsi="Arial" w:cs="Arial"/>
                <w:b w:val="0"/>
                <w:i w:val="0"/>
                <w:sz w:val="21"/>
                <w:lang w:val="en-GB"/>
              </w:rPr>
              <w:t>6) The 2026 State Progress Report has to assess the first three years of implementation, and if needed the Government proposes to the Seimas to update the strategic ambitions.</w:t>
            </w:r>
          </w:p>
        </w:tc>
      </w:tr>
      <w:tr w:rsidR="005E3FEB" w:rsidRPr="00314A95" w14:paraId="0582F923" w14:textId="77777777" w:rsidTr="00275D18">
        <w:tc>
          <w:tcPr>
            <w:tcW w:w="1198" w:type="pct"/>
          </w:tcPr>
          <w:p w14:paraId="6E1CCC7A" w14:textId="259E793C" w:rsidR="005E3FEB" w:rsidRPr="00314A95" w:rsidRDefault="005E3FEB" w:rsidP="00F859C1">
            <w:pPr>
              <w:rPr>
                <w:rFonts w:ascii="Arial" w:hAnsi="Arial" w:cs="Arial"/>
                <w:lang w:val="lt-LT"/>
              </w:rPr>
            </w:pPr>
            <w:r w:rsidRPr="00314A95">
              <w:rPr>
                <w:rFonts w:ascii="Arial" w:hAnsi="Arial" w:cs="Arial"/>
                <w:lang w:val="lt-LT"/>
              </w:rPr>
              <w:t>From the list of strategy implementation indicators (, choose two indicators that are important/interesting to you. Give reasons why these indicators are important. Compare the current and desired values.</w:t>
            </w:r>
          </w:p>
        </w:tc>
        <w:tc>
          <w:tcPr>
            <w:tcW w:w="3802" w:type="pct"/>
          </w:tcPr>
          <w:p w14:paraId="61DD6545" w14:textId="77777777" w:rsidR="005E3FEB" w:rsidRPr="00314A95" w:rsidRDefault="005E3FEB" w:rsidP="00F859C1">
            <w:pPr>
              <w:spacing w:after="60" w:before="0" w:line="240" w:lineRule="auto"/>
              <w:rPr>
                <w:rFonts w:ascii="Arial" w:hAnsi="Arial" w:cs="Arial"/>
                <w:lang w:val="lt-LT"/>
              </w:rPr>
            </w:pPr>
            <w:r>
              <w:rPr>
                <w:rFonts w:ascii="Arial" w:hAnsi="Arial" w:cs="Arial"/>
                <w:b/>
                <w:i w:val="0"/>
                <w:sz w:val="21"/>
                <w:lang w:val="en-GB"/>
              </w:rPr>
              <w:t>Indicator 1: greenhouse gas emissions (climate neutrality).</w:t>
            </w:r>
          </w:p>
          <w:p>
            <w:pPr>
              <w:spacing w:after="60" w:before="0" w:line="240" w:lineRule="auto"/>
            </w:pPr>
            <w:r>
              <w:rPr>
                <w:rFonts w:ascii="Arial" w:hAnsi="Arial" w:cs="Arial"/>
                <w:b w:val="0"/>
                <w:i w:val="0"/>
                <w:sz w:val="21"/>
                <w:lang w:val="en-GB"/>
              </w:rPr>
              <w:t>Why it matters: climate change affects everyone, and reaching the goal means changing the whole economy. It is also linked to energy independence, so it supports security too.</w:t>
            </w:r>
          </w:p>
          <w:p>
            <w:pPr>
              <w:spacing w:after="60" w:before="0" w:line="240" w:lineRule="auto"/>
            </w:pPr>
            <w:r>
              <w:rPr>
                <w:rFonts w:ascii="Arial" w:hAnsi="Arial" w:cs="Arial"/>
                <w:b w:val="0"/>
                <w:i w:val="0"/>
                <w:sz w:val="21"/>
                <w:lang w:val="en-GB"/>
              </w:rPr>
              <w:t>Current vs. desired: Lithuania's emissions fell from 48.2 million t CO₂ eq. in 1990 to about 20 million t (20.2 million t in 2017). The 2050 target is climate neutrality, meaning net zero emissions. More than half of the way is done, but the remaining part (transport, agriculture, heating) is the hardest to cut.</w:t>
            </w:r>
          </w:p>
          <w:p>
            <w:pPr>
              <w:spacing w:after="60" w:before="0" w:line="240" w:lineRule="auto"/>
            </w:pPr>
            <w:r>
              <w:rPr>
                <w:rFonts w:ascii="Arial" w:hAnsi="Arial" w:cs="Arial"/>
                <w:b/>
                <w:i w:val="0"/>
                <w:sz w:val="21"/>
                <w:lang w:val="en-GB"/>
              </w:rPr>
              <w:t>Indicator 2: trust in state institutions.</w:t>
            </w:r>
          </w:p>
          <w:p>
            <w:pPr>
              <w:spacing w:after="60" w:before="0" w:line="240" w:lineRule="auto"/>
            </w:pPr>
            <w:r>
              <w:rPr>
                <w:rFonts w:ascii="Arial" w:hAnsi="Arial" w:cs="Arial"/>
                <w:b w:val="0"/>
                <w:i w:val="0"/>
                <w:sz w:val="21"/>
                <w:lang w:val="en-GB"/>
              </w:rPr>
              <w:t>Why it matters: the first ambition is built on trust. When people do not trust the state they do not take part in decisions, follow rules less willingly and are easier to manipulate with propaganda. Trust also decides whether people accept reforms in other areas.</w:t>
            </w:r>
          </w:p>
          <w:p>
            <w:pPr>
              <w:spacing w:after="60" w:before="0" w:line="240" w:lineRule="auto"/>
            </w:pPr>
            <w:r>
              <w:rPr>
                <w:rFonts w:ascii="Arial" w:hAnsi="Arial" w:cs="Arial"/>
                <w:b w:val="0"/>
                <w:i w:val="0"/>
                <w:sz w:val="21"/>
                <w:lang w:val="en-GB"/>
              </w:rPr>
              <w:t xml:space="preserve">Current vs. desired: the strategy itself names low trust in state institutions as a problem today </w:t>
            </w:r>
            <w:r>
              <w:rPr>
                <w:rFonts w:ascii="Arial" w:hAnsi="Arial" w:cs="Arial"/>
                <w:b w:val="0"/>
                <w:i w:val="0"/>
                <w:sz w:val="21"/>
                <w:highlight w:val="yellow"/>
                <w:lang w:val="en-GB"/>
              </w:rPr>
              <w:t>[add the current value from the indicator table in the PDF]</w:t>
            </w:r>
            <w:r>
              <w:rPr>
                <w:rFonts w:ascii="Arial" w:hAnsi="Arial" w:cs="Arial"/>
                <w:b w:val="0"/>
                <w:i w:val="0"/>
                <w:sz w:val="21"/>
                <w:lang w:val="en-GB"/>
              </w:rPr>
              <w:t>. The 2050 aim is that the majority of citizens trust state institutions. The gap is large, so it needs real changes in how institutions work, not only better communication.</w:t>
            </w:r>
          </w:p>
        </w:tc>
      </w:tr>
      <w:tr w:rsidR="005E3FEB" w:rsidRPr="00314A95" w14:paraId="7D5EEB41" w14:textId="77777777" w:rsidTr="00275D18">
        <w:tc>
          <w:tcPr>
            <w:tcW w:w="1198" w:type="pct"/>
          </w:tcPr>
          <w:p w14:paraId="71DDE95C" w14:textId="79471E81" w:rsidR="005E3FEB" w:rsidRPr="00314A95" w:rsidRDefault="005E3FEB" w:rsidP="00F859C1">
            <w:pPr>
              <w:rPr>
                <w:rFonts w:ascii="Arial" w:hAnsi="Arial" w:cs="Arial"/>
                <w:lang w:val="lt-LT"/>
              </w:rPr>
            </w:pPr>
            <w:r w:rsidRPr="00314A95">
              <w:rPr>
                <w:rFonts w:ascii="Arial" w:hAnsi="Arial" w:cs="Arial"/>
                <w:lang w:val="lt-LT"/>
              </w:rPr>
              <w:t>Who prepared the strategy "Lithuania 2050"? Why is the involvement of various groups in society necessary?</w:t>
            </w:r>
          </w:p>
        </w:tc>
        <w:tc>
          <w:tcPr>
            <w:tcW w:w="3802" w:type="pct"/>
          </w:tcPr>
          <w:p w14:paraId="694E56A5" w14:textId="77777777" w:rsidR="005E3FEB" w:rsidRPr="00314A95" w:rsidRDefault="005E3FEB" w:rsidP="00F859C1">
            <w:pPr>
              <w:spacing w:after="60" w:before="0" w:line="240" w:lineRule="auto"/>
              <w:rPr>
                <w:rFonts w:ascii="Arial" w:hAnsi="Arial" w:cs="Arial"/>
                <w:lang w:val="lt-LT"/>
              </w:rPr>
            </w:pPr>
            <w:r>
              <w:rPr>
                <w:rFonts w:ascii="Arial" w:hAnsi="Arial" w:cs="Arial"/>
                <w:b w:val="0"/>
                <w:i w:val="0"/>
                <w:sz w:val="21"/>
                <w:lang w:val="en-GB"/>
              </w:rPr>
              <w:t>The strategy was prepared by the Office of the Government together with the Seimas Committee for the Future, the Government Strategic Analysis Center (STRATA) and Vilnius University, under the guidance of the State Progress Council. About 2,500 co-creators took part: experts, scientists, public servants, communities, young people and ordinary citizens (citizens' assemblies, discussions, surveys). The Seimas approved it in December 2023 with votes from all parliamentary groups, and it replaced “Lithuania 2030”.</w:t>
            </w:r>
          </w:p>
          <w:p>
            <w:pPr>
              <w:spacing w:after="60" w:before="0" w:line="240" w:lineRule="auto"/>
            </w:pPr>
            <w:r>
              <w:rPr>
                <w:rFonts w:ascii="Arial" w:hAnsi="Arial" w:cs="Arial"/>
                <w:b w:val="0"/>
                <w:i w:val="0"/>
                <w:sz w:val="21"/>
                <w:lang w:val="en-GB"/>
              </w:rPr>
              <w:t>Why involve different groups:</w:t>
            </w:r>
          </w:p>
          <w:p>
            <w:pPr>
              <w:spacing w:after="60" w:before="0" w:line="240" w:lineRule="auto"/>
            </w:pPr>
            <w:r>
              <w:rPr>
                <w:rFonts w:ascii="Arial" w:hAnsi="Arial" w:cs="Arial"/>
                <w:b w:val="0"/>
                <w:i w:val="0"/>
                <w:sz w:val="21"/>
                <w:lang w:val="en-GB"/>
              </w:rPr>
              <w:t>1) The strategy covers about 25 years, longer than many governments. The lecture says public sector strategy is very sensitive to political change; broad agreement keeps it alive after elections.</w:t>
            </w:r>
          </w:p>
          <w:p>
            <w:pPr>
              <w:spacing w:after="60" w:before="0" w:line="240" w:lineRule="auto"/>
            </w:pPr>
            <w:r>
              <w:rPr>
                <w:rFonts w:ascii="Arial" w:hAnsi="Arial" w:cs="Arial"/>
                <w:b w:val="0"/>
                <w:i w:val="0"/>
                <w:sz w:val="21"/>
                <w:lang w:val="en-GB"/>
              </w:rPr>
              <w:t>2) Public governance is not only politicians and officials. Citizens also take part in forming policy (lecture, slide on public governance). People who helped build the vision are more likely to trust it and act on it.</w:t>
            </w:r>
          </w:p>
          <w:p>
            <w:pPr>
              <w:spacing w:after="60" w:before="0" w:line="240" w:lineRule="auto"/>
            </w:pPr>
            <w:r>
              <w:rPr>
                <w:rFonts w:ascii="Arial" w:hAnsi="Arial" w:cs="Arial"/>
                <w:b w:val="0"/>
                <w:i w:val="0"/>
                <w:sz w:val="21"/>
                <w:lang w:val="en-GB"/>
              </w:rPr>
              <w:t>3) Different groups see different problems: regions, young people, business, scientists. Their input makes the picture of the future realistic.</w:t>
            </w:r>
          </w:p>
        </w:tc>
      </w:tr>
      <w:tr w:rsidR="00275D18" w:rsidRPr="00314A95" w14:paraId="7FCC4C1C" w14:textId="77777777" w:rsidTr="00275D18">
        <w:tc>
          <w:tcPr>
            <w:tcW w:w="1198" w:type="pct"/>
          </w:tcPr>
          <w:p w14:paraId="13DD0460" w14:textId="77777777" w:rsidR="00275D18" w:rsidRPr="00314A95" w:rsidRDefault="00275D18" w:rsidP="00F859C1">
            <w:pPr>
              <w:rPr>
                <w:rFonts w:ascii="Arial" w:hAnsi="Arial" w:cs="Arial"/>
                <w:lang w:val="lt-LT"/>
              </w:rPr>
            </w:pPr>
            <w:r w:rsidRPr="00314A95">
              <w:rPr>
                <w:rFonts w:ascii="Arial" w:hAnsi="Arial" w:cs="Arial"/>
                <w:lang w:val="lt-LT"/>
              </w:rPr>
              <w:t>How many stages/steps does strategy development involve? Which of these steps do you find most interesting? Why?</w:t>
            </w:r>
          </w:p>
          <w:p w14:paraId="2A7AFD64" w14:textId="29346CCF" w:rsidR="00275D18" w:rsidRPr="00314A95" w:rsidRDefault="00000000" w:rsidP="00F859C1">
            <w:pPr>
              <w:rPr>
                <w:rFonts w:ascii="Arial" w:hAnsi="Arial" w:cs="Arial"/>
                <w:lang w:val="lt-LT"/>
              </w:rPr>
            </w:pPr>
            <w:hyperlink r:id="rId28" w:history="1"/>
            <w:hyperlink r:id="rId29" w:history="1">
              <w:r w:rsidR="00275D18" w:rsidRPr="00314A95">
                <w:rPr>
                  <w:rStyle w:val="Hyperlink"/>
                  <w:rFonts w:ascii="Arial" w:hAnsi="Arial" w:cs="Arial"/>
                </w:rPr>
                <w:t>Strategies</w:t>
              </w:r>
            </w:hyperlink>
            <w:hyperlink r:id="rId30" w:history="1">
              <w:r w:rsidR="00275D18" w:rsidRPr="00314A95">
                <w:rPr>
                  <w:rStyle w:val="Hyperlink"/>
                  <w:rFonts w:ascii="Arial" w:hAnsi="Arial" w:cs="Arial"/>
                </w:rPr>
                <w:t>​</w:t>
              </w:r>
            </w:hyperlink>
            <w:hyperlink r:id="rId31" w:history="1">
              <w:r w:rsidR="00275D18" w:rsidRPr="00314A95">
                <w:rPr>
                  <w:rStyle w:val="Hyperlink"/>
                  <w:rFonts w:ascii="Arial" w:hAnsi="Arial" w:cs="Arial"/>
                </w:rPr>
                <w:t>​</w:t>
              </w:r>
            </w:hyperlink>
            <w:hyperlink r:id="rId32" w:history="1"/>
            <w:hyperlink r:id="rId33" w:history="1">
              <w:r w:rsidR="00275D18" w:rsidRPr="00314A95">
                <w:rPr>
                  <w:rStyle w:val="Hyperlink"/>
                  <w:rFonts w:ascii="Arial" w:hAnsi="Arial" w:cs="Arial"/>
                </w:rPr>
                <w:t xml:space="preserve"> </w:t>
              </w:r>
            </w:hyperlink>
            <w:hyperlink r:id="rId34" w:history="1"/>
            <w:hyperlink r:id="rId35" w:history="1">
              <w:r w:rsidR="00275D18" w:rsidRPr="00314A95">
                <w:rPr>
                  <w:rStyle w:val="Hyperlink"/>
                  <w:rFonts w:ascii="Arial" w:hAnsi="Arial" w:cs="Arial"/>
                </w:rPr>
                <w:t xml:space="preserve">creators </w:t>
              </w:r>
            </w:hyperlink>
            <w:hyperlink r:id="rId36" w:history="1"/>
            <w:hyperlink r:id="rId37" w:history="1">
              <w:r w:rsidR="00275D18" w:rsidRPr="00314A95">
                <w:rPr>
                  <w:rStyle w:val="Hyperlink"/>
                  <w:rFonts w:ascii="Arial" w:hAnsi="Arial" w:cs="Arial"/>
                </w:rPr>
                <w:t xml:space="preserve">- </w:t>
              </w:r>
              <w:r w:rsidR="00275D18" w:rsidRPr="00314A95">
                <w:rPr>
                  <w:rStyle w:val="Hyperlink"/>
                  <w:rFonts w:ascii="Arial" w:hAnsi="Arial" w:cs="Arial"/>
                </w:rPr>
                <w:lastRenderedPageBreak/>
                <w:t xml:space="preserve">GOVERNMENT OF THE REPUBLIC OF LITHUANIA ( </w:t>
              </w:r>
            </w:hyperlink>
            <w:hyperlink r:id="rId38" w:history="1"/>
            <w:hyperlink r:id="rId39" w:history="1">
              <w:r w:rsidR="00275D18" w:rsidRPr="00314A95">
                <w:rPr>
                  <w:rStyle w:val="Hyperlink"/>
                  <w:rFonts w:ascii="Arial" w:hAnsi="Arial" w:cs="Arial"/>
                </w:rPr>
                <w:t xml:space="preserve">lrv.lt </w:t>
              </w:r>
            </w:hyperlink>
            <w:hyperlink r:id="rId40" w:history="1"/>
            <w:hyperlink r:id="rId41" w:history="1">
              <w:r w:rsidR="00275D18" w:rsidRPr="00314A95">
                <w:rPr>
                  <w:rStyle w:val="Hyperlink"/>
                  <w:rFonts w:ascii="Arial" w:hAnsi="Arial" w:cs="Arial"/>
                </w:rPr>
                <w:t>)</w:t>
              </w:r>
            </w:hyperlink>
          </w:p>
        </w:tc>
        <w:tc>
          <w:tcPr>
            <w:tcW w:w="3802" w:type="pct"/>
          </w:tcPr>
          <w:p w14:paraId="4B57BBCC" w14:textId="77777777" w:rsidR="00275D18" w:rsidRPr="00314A95" w:rsidRDefault="00275D18" w:rsidP="00F859C1">
            <w:pPr>
              <w:spacing w:after="60" w:before="0" w:line="240" w:lineRule="auto"/>
              <w:rPr>
                <w:rFonts w:ascii="Arial" w:hAnsi="Arial" w:cs="Arial"/>
                <w:lang w:val="lt-LT"/>
              </w:rPr>
            </w:pPr>
            <w:r>
              <w:rPr>
                <w:rFonts w:ascii="Arial" w:hAnsi="Arial" w:cs="Arial"/>
                <w:b w:val="0"/>
                <w:i w:val="0"/>
                <w:sz w:val="21"/>
                <w:lang w:val="en-GB"/>
              </w:rPr>
              <w:t xml:space="preserve">The development had </w:t>
            </w:r>
            <w:r>
              <w:rPr>
                <w:rFonts w:ascii="Arial" w:hAnsi="Arial" w:cs="Arial"/>
                <w:b/>
                <w:i w:val="0"/>
                <w:sz w:val="21"/>
                <w:lang w:val="en-GB"/>
              </w:rPr>
              <w:t>five stages</w:t>
            </w:r>
            <w:r>
              <w:rPr>
                <w:rFonts w:ascii="Arial" w:hAnsi="Arial" w:cs="Arial"/>
                <w:b w:val="0"/>
                <w:i w:val="0"/>
                <w:sz w:val="21"/>
                <w:lang w:val="en-GB"/>
              </w:rPr>
              <w:t>:</w:t>
            </w:r>
          </w:p>
          <w:p>
            <w:pPr>
              <w:spacing w:after="60" w:before="0" w:line="240" w:lineRule="auto"/>
            </w:pPr>
            <w:r>
              <w:rPr>
                <w:rFonts w:ascii="Arial" w:hAnsi="Arial" w:cs="Arial"/>
                <w:b w:val="0"/>
                <w:i w:val="0"/>
                <w:sz w:val="21"/>
                <w:lang w:val="en-GB"/>
              </w:rPr>
              <w:t>1) preparatory stage;</w:t>
            </w:r>
          </w:p>
          <w:p>
            <w:pPr>
              <w:spacing w:after="60" w:before="0" w:line="240" w:lineRule="auto"/>
            </w:pPr>
            <w:r>
              <w:rPr>
                <w:rFonts w:ascii="Arial" w:hAnsi="Arial" w:cs="Arial"/>
                <w:b w:val="0"/>
                <w:i w:val="0"/>
                <w:sz w:val="21"/>
                <w:lang w:val="en-GB"/>
              </w:rPr>
              <w:t>2) analysis of the environment (trends and factors of change);</w:t>
            </w:r>
          </w:p>
          <w:p>
            <w:pPr>
              <w:spacing w:after="60" w:before="0" w:line="240" w:lineRule="auto"/>
            </w:pPr>
            <w:r>
              <w:rPr>
                <w:rFonts w:ascii="Arial" w:hAnsi="Arial" w:cs="Arial"/>
                <w:b w:val="0"/>
                <w:i w:val="0"/>
                <w:sz w:val="21"/>
                <w:lang w:val="en-GB"/>
              </w:rPr>
              <w:t>3) public consultations with experts, stakeholders and the public;</w:t>
            </w:r>
          </w:p>
          <w:p>
            <w:pPr>
              <w:spacing w:after="60" w:before="0" w:line="240" w:lineRule="auto"/>
            </w:pPr>
            <w:r>
              <w:rPr>
                <w:rFonts w:ascii="Arial" w:hAnsi="Arial" w:cs="Arial"/>
                <w:b w:val="0"/>
                <w:i w:val="0"/>
                <w:sz w:val="21"/>
                <w:lang w:val="en-GB"/>
              </w:rPr>
              <w:t>4) development of future scenarios and action plans;</w:t>
            </w:r>
          </w:p>
          <w:p>
            <w:pPr>
              <w:spacing w:after="60" w:before="0" w:line="240" w:lineRule="auto"/>
            </w:pPr>
            <w:r>
              <w:rPr>
                <w:rFonts w:ascii="Arial" w:hAnsi="Arial" w:cs="Arial"/>
                <w:b w:val="0"/>
                <w:i w:val="0"/>
                <w:sz w:val="21"/>
                <w:lang w:val="en-GB"/>
              </w:rPr>
              <w:t>5) the strategy plan (writing the final document).</w:t>
            </w:r>
          </w:p>
          <w:p>
            <w:pPr>
              <w:spacing w:after="60" w:before="0" w:line="240" w:lineRule="auto"/>
            </w:pPr>
            <w:r>
              <w:rPr>
                <w:rFonts w:ascii="Arial" w:hAnsi="Arial" w:cs="Arial"/>
                <w:b w:val="0"/>
                <w:i w:val="0"/>
                <w:sz w:val="21"/>
                <w:lang w:val="en-GB"/>
              </w:rPr>
              <w:t>The project ran from June 2021 to June 2023, almost two years.</w:t>
            </w:r>
          </w:p>
          <w:p>
            <w:pPr>
              <w:spacing w:after="60" w:before="0" w:line="240" w:lineRule="auto"/>
            </w:pPr>
            <w:r>
              <w:rPr>
                <w:rFonts w:ascii="Arial" w:hAnsi="Arial" w:cs="Arial"/>
                <w:b/>
                <w:i w:val="0"/>
                <w:sz w:val="21"/>
                <w:lang w:val="en-GB"/>
              </w:rPr>
              <w:t>Most interesting: the future scenarios stage.</w:t>
            </w:r>
            <w:r>
              <w:rPr>
                <w:rFonts w:ascii="Arial" w:hAnsi="Arial" w:cs="Arial"/>
                <w:b w:val="0"/>
                <w:i w:val="0"/>
                <w:sz w:val="21"/>
                <w:lang w:val="en-GB"/>
              </w:rPr>
              <w:t xml:space="preserve"> The creators did not simply extend today's trends. They imagined several possible futures, good and bad, and discussed them with citizens. This helps the country prepare for surprises such as the war in Ukraine and choose the future it wants instead of only reacting to problems.</w:t>
            </w:r>
          </w:p>
        </w:tc>
      </w:tr>
      <w:tr w:rsidR="00275D18" w:rsidRPr="00314A95" w14:paraId="66178975" w14:textId="77777777" w:rsidTr="00275D18">
        <w:tc>
          <w:tcPr>
            <w:tcW w:w="1198" w:type="pct"/>
          </w:tcPr>
          <w:p w14:paraId="31BFAAE6" w14:textId="5C29AF7F" w:rsidR="00275D18" w:rsidRPr="00314A95" w:rsidRDefault="00275D18" w:rsidP="00F859C1">
            <w:pPr>
              <w:rPr>
                <w:rFonts w:ascii="Arial" w:hAnsi="Arial" w:cs="Arial"/>
                <w:lang w:val="lt-LT"/>
              </w:rPr>
            </w:pPr>
            <w:r w:rsidRPr="00314A95">
              <w:rPr>
                <w:rFonts w:ascii="Arial" w:hAnsi="Arial" w:cs="Arial"/>
                <w:lang w:val="lt-LT"/>
              </w:rPr>
              <w:t xml:space="preserve">Based on the figure of </w:t>
            </w:r>
            <w:hyperlink r:id="rId42" w:history="1">
              <w:r w:rsidRPr="00314A95">
                <w:rPr>
                  <w:rStyle w:val="Hyperlink"/>
                  <w:rFonts w:ascii="Arial" w:hAnsi="Arial" w:cs="Arial"/>
                  <w:lang w:val="lt-LT"/>
                </w:rPr>
                <w:t xml:space="preserve">the Strategic Management System - GOVERNMENT OF THE REPUBLIC OF LITHUANIA ( </w:t>
              </w:r>
            </w:hyperlink>
            <w:hyperlink r:id="rId43" w:history="1"/>
            <w:hyperlink r:id="rId44" w:history="1">
              <w:r w:rsidRPr="00314A95">
                <w:rPr>
                  <w:rStyle w:val="Hyperlink"/>
                  <w:rFonts w:ascii="Arial" w:hAnsi="Arial" w:cs="Arial"/>
                  <w:lang w:val="lt-LT"/>
                </w:rPr>
                <w:t xml:space="preserve">lrv.lt </w:t>
              </w:r>
            </w:hyperlink>
            <w:hyperlink r:id="rId45" w:history="1"/>
            <w:hyperlink r:id="rId46" w:history="1">
              <w:r w:rsidRPr="00314A95">
                <w:rPr>
                  <w:rStyle w:val="Hyperlink"/>
                  <w:rFonts w:ascii="Arial" w:hAnsi="Arial" w:cs="Arial"/>
                  <w:lang w:val="lt-LT"/>
                </w:rPr>
                <w:t xml:space="preserve">) </w:t>
              </w:r>
            </w:hyperlink>
            <w:r w:rsidRPr="00314A95">
              <w:rPr>
                <w:rFonts w:ascii="Arial" w:hAnsi="Arial" w:cs="Arial"/>
                <w:lang w:val="lt-LT"/>
              </w:rPr>
              <w:t>, explain whether individual public institutions must follow the Lithuanian Progress Strategy?</w:t>
            </w:r>
          </w:p>
        </w:tc>
        <w:tc>
          <w:tcPr>
            <w:tcW w:w="3802" w:type="pct"/>
          </w:tcPr>
          <w:p w14:paraId="210C0B3B" w14:textId="77777777" w:rsidR="00275D18" w:rsidRPr="00314A95" w:rsidRDefault="00275D18" w:rsidP="00F859C1">
            <w:pPr>
              <w:spacing w:after="60" w:before="0" w:line="240" w:lineRule="auto"/>
              <w:rPr>
                <w:rFonts w:ascii="Arial" w:hAnsi="Arial" w:cs="Arial"/>
                <w:lang w:val="lt-LT"/>
              </w:rPr>
            </w:pPr>
            <w:r>
              <w:rPr>
                <w:rFonts w:ascii="Arial" w:hAnsi="Arial" w:cs="Arial"/>
                <w:b/>
                <w:i w:val="0"/>
                <w:sz w:val="21"/>
                <w:lang w:val="en-GB"/>
              </w:rPr>
              <w:t>Yes, but through the chain of planning documents.</w:t>
            </w:r>
            <w:r>
              <w:rPr>
                <w:rFonts w:ascii="Arial" w:hAnsi="Arial" w:cs="Arial"/>
                <w:b w:val="0"/>
                <w:i w:val="0"/>
                <w:sz w:val="21"/>
                <w:lang w:val="en-GB"/>
              </w:rPr>
              <w:t xml:space="preserve"> The figure shows the strategic management system as four levels, and each lower level is built on the level above:</w:t>
            </w:r>
          </w:p>
          <w:p>
            <w:pPr>
              <w:spacing w:after="60" w:before="0" w:line="240" w:lineRule="auto"/>
            </w:pPr>
            <w:r>
              <w:rPr>
                <w:rFonts w:ascii="Arial" w:hAnsi="Arial" w:cs="Arial"/>
                <w:b w:val="0"/>
                <w:i w:val="0"/>
                <w:sz w:val="21"/>
                <w:lang w:val="en-GB"/>
              </w:rPr>
              <w:t>1) state strategies (up to 30 years): the National Progress Strategy “Lithuania 2050”, the National Security Strategy and the Concept of the General Plan;</w:t>
            </w:r>
          </w:p>
          <w:p>
            <w:pPr>
              <w:spacing w:after="60" w:before="0" w:line="240" w:lineRule="auto"/>
            </w:pPr>
            <w:r>
              <w:rPr>
                <w:rFonts w:ascii="Arial" w:hAnsi="Arial" w:cs="Arial"/>
                <w:b w:val="0"/>
                <w:i w:val="0"/>
                <w:sz w:val="21"/>
                <w:lang w:val="en-GB"/>
              </w:rPr>
              <w:t>2) strategic level: the National Progress Plan (10 years), national agendas and the General Plan;</w:t>
            </w:r>
          </w:p>
          <w:p>
            <w:pPr>
              <w:spacing w:after="60" w:before="0" w:line="240" w:lineRule="auto"/>
            </w:pPr>
            <w:r>
              <w:rPr>
                <w:rFonts w:ascii="Arial" w:hAnsi="Arial" w:cs="Arial"/>
                <w:b w:val="0"/>
                <w:i w:val="0"/>
                <w:sz w:val="21"/>
                <w:lang w:val="en-GB"/>
              </w:rPr>
              <w:t>3) programming level: the Government Programme and its implementation plan (4 years), national development programmes (4–10 years), regional and municipal plans;</w:t>
            </w:r>
          </w:p>
          <w:p>
            <w:pPr>
              <w:spacing w:after="60" w:before="0" w:line="240" w:lineRule="auto"/>
            </w:pPr>
            <w:r>
              <w:rPr>
                <w:rFonts w:ascii="Arial" w:hAnsi="Arial" w:cs="Arial"/>
                <w:b w:val="0"/>
                <w:i w:val="0"/>
                <w:sz w:val="21"/>
                <w:lang w:val="en-GB"/>
              </w:rPr>
              <w:t>4) operational (budget) level: each institution's strategic action plan (3 years) with funding for ongoing activities and for progress, plus action plans and annual plans (1 year).</w:t>
            </w:r>
          </w:p>
          <w:p>
            <w:pPr>
              <w:spacing w:after="60" w:before="0" w:line="240" w:lineRule="auto"/>
            </w:pPr>
            <w:r>
              <w:rPr>
                <w:rFonts w:ascii="Arial" w:hAnsi="Arial" w:cs="Arial"/>
                <w:b w:val="0"/>
                <w:i w:val="0"/>
                <w:sz w:val="21"/>
                <w:lang w:val="en-GB"/>
              </w:rPr>
              <w:t>The Law on Strategic Management (No. XIII-3096) makes institutions whose heads manage budget appropriations participants of this system, and planning documents at all levels must fit together. Funds for progress go only to measures in development programmes and regional plans, which come from the National Progress Plan, which puts “Lithuania 2050” into practice. So an institution does not copy the progress strategy word for word, but its 3-year strategic action plan, goals and indicators must match the higher documents. Otherwise it cannot get money for its plans.</w:t>
            </w:r>
          </w:p>
        </w:tc>
      </w:tr>
    </w:tbl>
    <w:p w14:paraId="29E44392" w14:textId="77777777" w:rsidR="00D91763" w:rsidRPr="00314A95" w:rsidRDefault="00D91763" w:rsidP="00D91763">
      <w:pPr>
        <w:rPr>
          <w:rFonts w:ascii="Arial" w:hAnsi="Arial" w:cs="Arial"/>
          <w:lang w:val="lt-LT"/>
        </w:rPr>
      </w:pPr>
    </w:p>
    <w:p w14:paraId="3B8242DE" w14:textId="77777777" w:rsidR="003D22EE" w:rsidRPr="00314A95" w:rsidRDefault="003D22EE" w:rsidP="00D91763">
      <w:pPr>
        <w:rPr>
          <w:rFonts w:ascii="Arial" w:hAnsi="Arial" w:cs="Arial"/>
          <w:lang w:val="lt-LT"/>
        </w:rPr>
      </w:pPr>
    </w:p>
    <w:p w14:paraId="0A2A5AEE" w14:textId="6241EFCD" w:rsidR="004F586C" w:rsidRPr="00314A95" w:rsidRDefault="00741FAD" w:rsidP="00D91763">
      <w:pPr>
        <w:rPr>
          <w:rFonts w:ascii="Arial" w:hAnsi="Arial" w:cs="Arial"/>
          <w:lang w:val="lt-LT"/>
        </w:rPr>
      </w:pPr>
      <w:r w:rsidRPr="00314A95">
        <w:rPr>
          <w:rFonts w:ascii="Arial" w:hAnsi="Arial" w:cs="Arial"/>
          <w:lang w:val="lt-LT"/>
        </w:rPr>
        <w:t>Task 3</w:t>
      </w:r>
      <w:r>
        <w:rPr>
          <w:rFonts w:ascii="Arial" w:hAnsi="Arial" w:cs="Arial"/>
          <w:lang w:val="lt-LT"/>
        </w:rPr>
        <w:t xml:space="preserve"> Does Your country has similar strategy?</w:t>
      </w:r>
    </w:p>
    <w:p>
      <w:pPr>
        <w:spacing w:after="120" w:before="0" w:line="240" w:lineRule="auto"/>
      </w:pPr>
      <w:r>
        <w:rPr>
          <w:rFonts w:ascii="Arial" w:hAnsi="Arial" w:cs="Arial"/>
          <w:b/>
          <w:i w:val="0"/>
          <w:sz w:val="22"/>
          <w:lang w:val="en-GB"/>
        </w:rPr>
        <w:t>Yes.</w:t>
      </w:r>
      <w:r>
        <w:rPr>
          <w:rFonts w:ascii="Arial" w:hAnsi="Arial" w:cs="Arial"/>
          <w:b w:val="0"/>
          <w:i w:val="0"/>
          <w:sz w:val="22"/>
          <w:lang w:val="en-GB"/>
        </w:rPr>
        <w:t xml:space="preserve"> Lithuania has had a long-term progress strategy for many years.</w:t>
      </w:r>
    </w:p>
    <w:p>
      <w:pPr>
        <w:spacing w:after="120" w:before="0" w:line="240" w:lineRule="auto"/>
      </w:pPr>
      <w:r>
        <w:rPr>
          <w:rFonts w:ascii="Arial" w:hAnsi="Arial" w:cs="Arial"/>
          <w:b w:val="0"/>
          <w:i w:val="0"/>
          <w:sz w:val="22"/>
          <w:lang w:val="en-GB"/>
        </w:rPr>
        <w:t>Before “Lithuania 2050” the country followed the progress strategy “Lithuania 2030”, approved by the Seimas in 2012. It had three areas: smart society, smart economy and smart governance. Its interim evaluation was done in 2021, and in 2023 it was replaced by “Lithuania 2050”.</w:t>
      </w:r>
    </w:p>
    <w:p>
      <w:pPr>
        <w:spacing w:after="120" w:before="0" w:line="240" w:lineRule="auto"/>
      </w:pPr>
      <w:r>
        <w:rPr>
          <w:rFonts w:ascii="Arial" w:hAnsi="Arial" w:cs="Arial"/>
          <w:b/>
          <w:i w:val="0"/>
          <w:sz w:val="22"/>
          <w:lang w:val="en-GB"/>
        </w:rPr>
        <w:t>What is similar:</w:t>
      </w:r>
      <w:r>
        <w:rPr>
          <w:rFonts w:ascii="Arial" w:hAnsi="Arial" w:cs="Arial"/>
          <w:b w:val="0"/>
          <w:i w:val="0"/>
          <w:sz w:val="22"/>
          <w:lang w:val="en-GB"/>
        </w:rPr>
        <w:t xml:space="preserve"> both are long-term national progress strategies with a vision, development directions and impact indicators, and both are carried out through lower-level plans. Today this is the National Progress Plan for 2021–2030.</w:t>
      </w:r>
    </w:p>
    <w:p>
      <w:pPr>
        <w:spacing w:after="120" w:before="0" w:line="240" w:lineRule="auto"/>
      </w:pPr>
      <w:r>
        <w:rPr>
          <w:rFonts w:ascii="Arial" w:hAnsi="Arial" w:cs="Arial"/>
          <w:b/>
          <w:i w:val="0"/>
          <w:sz w:val="22"/>
          <w:lang w:val="en-GB"/>
        </w:rPr>
        <w:t>What is different:</w:t>
      </w:r>
      <w:r>
        <w:rPr>
          <w:rFonts w:ascii="Arial" w:hAnsi="Arial" w:cs="Arial"/>
          <w:b w:val="0"/>
          <w:i w:val="0"/>
          <w:sz w:val="22"/>
          <w:lang w:val="en-GB"/>
        </w:rPr>
        <w:t xml:space="preserve"> “Lithuania 2050” looks further ahead, uses future scenarios, involved about 2,500 people and added a separate ambition about a resilient state after Russia's war against Ukraine. Since the Law on Strategic Management (2020), the link between the strategy, plans, programmes and the budget is also much stronger (lecture, slides 15–26).</w:t>
      </w:r>
    </w:p>
    <w:p>
      <w:pPr>
        <w:spacing w:after="120" w:before="0" w:line="240" w:lineRule="auto"/>
      </w:pPr>
      <w:r>
        <w:rPr>
          <w:rFonts w:ascii="Arial" w:hAnsi="Arial" w:cs="Arial"/>
          <w:b w:val="0"/>
          <w:i w:val="0"/>
          <w:sz w:val="22"/>
          <w:lang w:val="en-GB"/>
        </w:rPr>
        <w:t>Lithuania also has the other two national strategies named in the law: the National Security Strategy and the Concept of the General Plan of the territory. All three must be consistent with each other.</w:t>
      </w:r>
    </w:p>
    <w:p>
      <w:pPr>
        <w:spacing w:after="80" w:before="0" w:line="240" w:lineRule="auto"/>
      </w:pPr>
      <w:r>
        <w:rPr>
          <w:rFonts w:ascii="Arial" w:hAnsi="Arial" w:cs="Arial"/>
          <w:b/>
          <w:i w:val="0"/>
          <w:sz w:val="24"/>
          <w:lang w:val="en-GB"/>
        </w:rPr>
        <w:t>Sources</w:t>
      </w:r>
    </w:p>
    <w:p>
      <w:pPr>
        <w:spacing w:after="120" w:before="0" w:line="240" w:lineRule="auto"/>
      </w:pPr>
      <w:r>
        <w:rPr>
          <w:rFonts w:ascii="Arial" w:hAnsi="Arial" w:cs="Arial"/>
          <w:b w:val="0"/>
          <w:i w:val="0"/>
          <w:sz w:val="20"/>
          <w:lang w:val="en-GB"/>
        </w:rPr>
        <w:t>National Security Strategy, Seimas Resolution No. IX-907 (edition approved by Resolution No. XIV-795, 16 December 2021): https://www.e-tar.lt/portal/lt/legalAct/TAR.2627131DA3D2/asr</w:t>
      </w:r>
    </w:p>
    <w:p>
      <w:pPr>
        <w:spacing w:after="120" w:before="0" w:line="240" w:lineRule="auto"/>
      </w:pPr>
      <w:r>
        <w:rPr>
          <w:rFonts w:ascii="Arial" w:hAnsi="Arial" w:cs="Arial"/>
          <w:b w:val="0"/>
          <w:i w:val="0"/>
          <w:sz w:val="20"/>
          <w:lang w:val="en-GB"/>
        </w:rPr>
        <w:t>Lithuania's vision for the future “Lithuania 2050” (abbreviated version): https://lrv.lt/media/viesa/saugykla/2023/12/x4ltEIwkfxE.pdf</w:t>
      </w:r>
    </w:p>
    <w:p>
      <w:pPr>
        <w:spacing w:after="120" w:before="0" w:line="240" w:lineRule="auto"/>
      </w:pPr>
      <w:r>
        <w:rPr>
          <w:rFonts w:ascii="Arial" w:hAnsi="Arial" w:cs="Arial"/>
          <w:b w:val="0"/>
          <w:i w:val="0"/>
          <w:sz w:val="20"/>
          <w:lang w:val="en-GB"/>
        </w:rPr>
        <w:t>Valstybės ateities vizija “Lietuva 2050”: https://lrv.lt/lt/lietuva-2050/</w:t>
      </w:r>
    </w:p>
    <w:p>
      <w:pPr>
        <w:spacing w:after="120" w:before="0" w:line="240" w:lineRule="auto"/>
      </w:pPr>
      <w:r>
        <w:rPr>
          <w:rFonts w:ascii="Arial" w:hAnsi="Arial" w:cs="Arial"/>
          <w:b w:val="0"/>
          <w:i w:val="0"/>
          <w:sz w:val="20"/>
          <w:lang w:val="en-GB"/>
        </w:rPr>
        <w:t>Strategy creators: https://lrv.lt/lt/lietuva-2050/strategijos-kurejai/</w:t>
      </w:r>
    </w:p>
    <w:p>
      <w:pPr>
        <w:spacing w:after="120" w:before="0" w:line="240" w:lineRule="auto"/>
      </w:pPr>
      <w:r>
        <w:rPr>
          <w:rFonts w:ascii="Arial" w:hAnsi="Arial" w:cs="Arial"/>
          <w:b w:val="0"/>
          <w:i w:val="0"/>
          <w:sz w:val="20"/>
          <w:lang w:val="en-GB"/>
        </w:rPr>
        <w:t>Strategic Management System: https://lrv.lt/lt/apie-vyriausybe/strateginis-valdymas/strateginio-valdymo-sistema-2/</w:t>
      </w:r>
    </w:p>
    <w:p>
      <w:pPr>
        <w:spacing w:after="120" w:before="0" w:line="240" w:lineRule="auto"/>
      </w:pPr>
      <w:r>
        <w:rPr>
          <w:rFonts w:ascii="Arial" w:hAnsi="Arial" w:cs="Arial"/>
          <w:b w:val="0"/>
          <w:i w:val="0"/>
          <w:sz w:val="20"/>
          <w:lang w:val="en-GB"/>
        </w:rPr>
        <w:t>Lecture “Ensuring Coherence in Public Sector Management” (slides on public governance, characteristics of strategic management, the Law on Strategic Management No. XIII-3096, planning levels and funding).</w:t>
      </w:r>
    </w:p>
    <w:sectPr w:rsidR="004F586C" w:rsidRPr="00314A95" w:rsidSect="003D22EE">
      <w:pgSz w:w="11906" w:h="16838"/>
      <w:pgMar w:top="899" w:right="567" w:bottom="1134" w:left="1418"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BA"/>
    <w:family w:val="swiss"/>
    <w:pitch w:val="variable"/>
    <w:sig w:usb0="E4002EFF" w:usb1="C200247B" w:usb2="00000009" w:usb3="00000000" w:csb0="000001FF" w:csb1="00000000"/>
  </w:font>
  <w:font w:name="Calibri">
    <w:panose1 w:val="020F05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C5BE4"/>
    <w:multiLevelType w:val="hybridMultilevel"/>
    <w:tmpl w:val="CCE0666A"/>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634827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1296"/>
  <w:hyphenationZone w:val="396"/>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6570"/>
    <w:rsid w:val="0006038E"/>
    <w:rsid w:val="00077080"/>
    <w:rsid w:val="001B0F15"/>
    <w:rsid w:val="001B2CF8"/>
    <w:rsid w:val="001D451F"/>
    <w:rsid w:val="001D7A53"/>
    <w:rsid w:val="00257D5D"/>
    <w:rsid w:val="00275D18"/>
    <w:rsid w:val="0030531B"/>
    <w:rsid w:val="00314A95"/>
    <w:rsid w:val="003D22EE"/>
    <w:rsid w:val="003F1335"/>
    <w:rsid w:val="003F3746"/>
    <w:rsid w:val="004335C0"/>
    <w:rsid w:val="00445B00"/>
    <w:rsid w:val="00493979"/>
    <w:rsid w:val="004A5883"/>
    <w:rsid w:val="004F586C"/>
    <w:rsid w:val="005119DE"/>
    <w:rsid w:val="00554BAB"/>
    <w:rsid w:val="005D27F1"/>
    <w:rsid w:val="005E3FEB"/>
    <w:rsid w:val="005E6570"/>
    <w:rsid w:val="00612AF1"/>
    <w:rsid w:val="00694008"/>
    <w:rsid w:val="00741FAD"/>
    <w:rsid w:val="00755374"/>
    <w:rsid w:val="0075553C"/>
    <w:rsid w:val="0076120E"/>
    <w:rsid w:val="007A20CE"/>
    <w:rsid w:val="00855166"/>
    <w:rsid w:val="009C5B29"/>
    <w:rsid w:val="009F275C"/>
    <w:rsid w:val="00A11C0B"/>
    <w:rsid w:val="00A83769"/>
    <w:rsid w:val="00A90659"/>
    <w:rsid w:val="00AB3381"/>
    <w:rsid w:val="00AD5F7B"/>
    <w:rsid w:val="00AE2AE2"/>
    <w:rsid w:val="00B1104A"/>
    <w:rsid w:val="00B851AC"/>
    <w:rsid w:val="00BF2C96"/>
    <w:rsid w:val="00C0692E"/>
    <w:rsid w:val="00C4707B"/>
    <w:rsid w:val="00C47086"/>
    <w:rsid w:val="00C7438B"/>
    <w:rsid w:val="00CD3A33"/>
    <w:rsid w:val="00D5248E"/>
    <w:rsid w:val="00D55639"/>
    <w:rsid w:val="00D57686"/>
    <w:rsid w:val="00D91763"/>
    <w:rsid w:val="00E46291"/>
    <w:rsid w:val="00F07385"/>
    <w:rsid w:val="00F13D13"/>
    <w:rsid w:val="00F70C59"/>
    <w:rsid w:val="00F741D8"/>
    <w:rsid w:val="00F8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C8600"/>
  <w15:chartTrackingRefBased/>
  <w15:docId w15:val="{811122EB-925F-4F41-9B74-5210B075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B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755374"/>
    <w:rPr>
      <w:color w:val="0000FF"/>
      <w:u w:val="single"/>
    </w:rPr>
  </w:style>
  <w:style w:type="character" w:styleId="FollowedHyperlink">
    <w:name w:val="FollowedHyperlink"/>
    <w:rsid w:val="0006038E"/>
    <w:rPr>
      <w:color w:val="954F72"/>
      <w:u w:val="single"/>
    </w:rPr>
  </w:style>
  <w:style w:type="character" w:styleId="UnresolvedMention">
    <w:name w:val="Unresolved Mention"/>
    <w:uiPriority w:val="99"/>
    <w:semiHidden/>
    <w:unhideWhenUsed/>
    <w:rsid w:val="004A5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e-tar.lt/portal/lt/legalAct/TAR.2627131DA3D2/asr" TargetMode="External"/><Relationship Id="rId18" Type="http://schemas.openxmlformats.org/officeDocument/2006/relationships/hyperlink" Target="https://www.e-tar.lt/portal/lt/legalAct/TAR.2627131DA3D2/asr" TargetMode="External"/><Relationship Id="rId26" Type="http://schemas.openxmlformats.org/officeDocument/2006/relationships/hyperlink" Target="https://lrv.lt/media/viesa/saugykla/2023/12/x4ltEIwkfxE.pdf" TargetMode="External"/><Relationship Id="rId39" Type="http://schemas.openxmlformats.org/officeDocument/2006/relationships/hyperlink" Target="https://lrv.lt/lt/lietuva-2050/strategijos-kurejai/" TargetMode="External"/><Relationship Id="rId21" Type="http://schemas.openxmlformats.org/officeDocument/2006/relationships/hyperlink" Target="https://www.e-tar.lt/portal/lt/legalAct/TAR.2627131DA3D2/asr" TargetMode="External"/><Relationship Id="rId34" Type="http://schemas.openxmlformats.org/officeDocument/2006/relationships/hyperlink" Target="https://lrv.lt/lt/lietuva-2050/strategijos-kurejai/" TargetMode="External"/><Relationship Id="rId42" Type="http://schemas.openxmlformats.org/officeDocument/2006/relationships/hyperlink" Target="https://lrv.lt/lt/apie-vyriausybe/strateginis-valdymas/strateginio-valdymo-sistema-2/" TargetMode="External"/><Relationship Id="rId47" Type="http://schemas.openxmlformats.org/officeDocument/2006/relationships/fontTable" Target="fontTable.xml"/><Relationship Id="rId7" Type="http://schemas.openxmlformats.org/officeDocument/2006/relationships/hyperlink" Target="https://www.e-tar.lt/portal/lt/legalAct/TAR.2627131DA3D2/asr" TargetMode="External"/><Relationship Id="rId2" Type="http://schemas.openxmlformats.org/officeDocument/2006/relationships/numbering" Target="numbering.xml"/><Relationship Id="rId16" Type="http://schemas.openxmlformats.org/officeDocument/2006/relationships/hyperlink" Target="https://www.e-tar.lt/portal/lt/legalAct/TAR.2627131DA3D2/asr" TargetMode="External"/><Relationship Id="rId29" Type="http://schemas.openxmlformats.org/officeDocument/2006/relationships/hyperlink" Target="https://lrv.lt/lt/lietuva-2050/strategijos-kurejai/" TargetMode="External"/><Relationship Id="rId1" Type="http://schemas.openxmlformats.org/officeDocument/2006/relationships/customXml" Target="../customXml/item1.xml"/><Relationship Id="rId6" Type="http://schemas.openxmlformats.org/officeDocument/2006/relationships/hyperlink" Target="https://www.e-tar.lt/portal/lt/legalAct/TAR.2627131DA3D2/asr" TargetMode="External"/><Relationship Id="rId11" Type="http://schemas.openxmlformats.org/officeDocument/2006/relationships/hyperlink" Target="https://www.e-tar.lt/portal/lt/legalAct/TAR.2627131DA3D2/asr" TargetMode="External"/><Relationship Id="rId24" Type="http://schemas.openxmlformats.org/officeDocument/2006/relationships/hyperlink" Target="https://www.e-tar.lt/portal/lt/legalAct/TAR.2627131DA3D2/asr" TargetMode="External"/><Relationship Id="rId32" Type="http://schemas.openxmlformats.org/officeDocument/2006/relationships/hyperlink" Target="https://lrv.lt/lt/lietuva-2050/strategijos-kurejai/" TargetMode="External"/><Relationship Id="rId37" Type="http://schemas.openxmlformats.org/officeDocument/2006/relationships/hyperlink" Target="https://lrv.lt/lt/lietuva-2050/strategijos-kurejai/" TargetMode="External"/><Relationship Id="rId40" Type="http://schemas.openxmlformats.org/officeDocument/2006/relationships/hyperlink" Target="https://lrv.lt/lt/lietuva-2050/strategijos-kurejai/" TargetMode="External"/><Relationship Id="rId45" Type="http://schemas.openxmlformats.org/officeDocument/2006/relationships/hyperlink" Target="https://lrv.lt/lt/apie-vyriausybe/strateginis-valdymas/strateginio-valdymo-sistema-2/" TargetMode="External"/><Relationship Id="rId5" Type="http://schemas.openxmlformats.org/officeDocument/2006/relationships/webSettings" Target="webSettings.xml"/><Relationship Id="rId15" Type="http://schemas.openxmlformats.org/officeDocument/2006/relationships/hyperlink" Target="https://www.e-tar.lt/portal/lt/legalAct/TAR.2627131DA3D2/asr" TargetMode="External"/><Relationship Id="rId23" Type="http://schemas.openxmlformats.org/officeDocument/2006/relationships/hyperlink" Target="https://www.e-tar.lt/portal/lt/legalAct/TAR.2627131DA3D2/asr" TargetMode="External"/><Relationship Id="rId28" Type="http://schemas.openxmlformats.org/officeDocument/2006/relationships/hyperlink" Target="https://lrv.lt/lt/lietuva-2050/strategijos-kurejai/" TargetMode="External"/><Relationship Id="rId36" Type="http://schemas.openxmlformats.org/officeDocument/2006/relationships/hyperlink" Target="https://lrv.lt/lt/lietuva-2050/strategijos-kurejai/" TargetMode="External"/><Relationship Id="rId10" Type="http://schemas.openxmlformats.org/officeDocument/2006/relationships/hyperlink" Target="https://www.e-tar.lt/portal/lt/legalAct/TAR.2627131DA3D2/asr" TargetMode="External"/><Relationship Id="rId19" Type="http://schemas.openxmlformats.org/officeDocument/2006/relationships/hyperlink" Target="https://www.e-tar.lt/portal/lt/legalAct/TAR.2627131DA3D2/asr" TargetMode="External"/><Relationship Id="rId31" Type="http://schemas.openxmlformats.org/officeDocument/2006/relationships/hyperlink" Target="https://lrv.lt/lt/lietuva-2050/strategijos-kurejai/" TargetMode="External"/><Relationship Id="rId44" Type="http://schemas.openxmlformats.org/officeDocument/2006/relationships/hyperlink" Target="https://lrv.lt/lt/apie-vyriausybe/strateginis-valdymas/strateginio-valdymo-sistema-2/" TargetMode="External"/><Relationship Id="rId4" Type="http://schemas.openxmlformats.org/officeDocument/2006/relationships/settings" Target="settings.xml"/><Relationship Id="rId9" Type="http://schemas.openxmlformats.org/officeDocument/2006/relationships/hyperlink" Target="https://www.e-tar.lt/portal/lt/legalAct/TAR.2627131DA3D2/asr" TargetMode="External"/><Relationship Id="rId14" Type="http://schemas.openxmlformats.org/officeDocument/2006/relationships/hyperlink" Target="https://www.e-tar.lt/portal/lt/legalAct/TAR.2627131DA3D2/asr" TargetMode="External"/><Relationship Id="rId22" Type="http://schemas.openxmlformats.org/officeDocument/2006/relationships/hyperlink" Target="https://www.e-tar.lt/portal/lt/legalAct/TAR.2627131DA3D2/asr" TargetMode="External"/><Relationship Id="rId27" Type="http://schemas.openxmlformats.org/officeDocument/2006/relationships/hyperlink" Target="https://lrv.lt/lt/lietuva-2050/" TargetMode="External"/><Relationship Id="rId30" Type="http://schemas.openxmlformats.org/officeDocument/2006/relationships/hyperlink" Target="https://lrv.lt/lt/lietuva-2050/strategijos-kurejai/" TargetMode="External"/><Relationship Id="rId35" Type="http://schemas.openxmlformats.org/officeDocument/2006/relationships/hyperlink" Target="https://lrv.lt/lt/lietuva-2050/strategijos-kurejai/" TargetMode="External"/><Relationship Id="rId43" Type="http://schemas.openxmlformats.org/officeDocument/2006/relationships/hyperlink" Target="https://lrv.lt/lt/apie-vyriausybe/strateginis-valdymas/strateginio-valdymo-sistema-2/" TargetMode="External"/><Relationship Id="rId48" Type="http://schemas.openxmlformats.org/officeDocument/2006/relationships/theme" Target="theme/theme1.xml"/><Relationship Id="rId8" Type="http://schemas.openxmlformats.org/officeDocument/2006/relationships/hyperlink" Target="https://www.e-tar.lt/portal/lt/legalAct/TAR.2627131DA3D2/asr" TargetMode="External"/><Relationship Id="rId3" Type="http://schemas.openxmlformats.org/officeDocument/2006/relationships/styles" Target="styles.xml"/><Relationship Id="rId12" Type="http://schemas.openxmlformats.org/officeDocument/2006/relationships/hyperlink" Target="https://www.e-tar.lt/portal/lt/legalAct/TAR.2627131DA3D2/asr" TargetMode="External"/><Relationship Id="rId17" Type="http://schemas.openxmlformats.org/officeDocument/2006/relationships/hyperlink" Target="https://www.e-tar.lt/portal/lt/legalAct/TAR.2627131DA3D2/asr" TargetMode="External"/><Relationship Id="rId25" Type="http://schemas.openxmlformats.org/officeDocument/2006/relationships/hyperlink" Target="https://www.e-tar.lt/portal/lt/legalAct/TAR.2627131DA3D2/asr" TargetMode="External"/><Relationship Id="rId33" Type="http://schemas.openxmlformats.org/officeDocument/2006/relationships/hyperlink" Target="https://lrv.lt/lt/lietuva-2050/strategijos-kurejai/" TargetMode="External"/><Relationship Id="rId38" Type="http://schemas.openxmlformats.org/officeDocument/2006/relationships/hyperlink" Target="https://lrv.lt/lt/lietuva-2050/strategijos-kurejai/" TargetMode="External"/><Relationship Id="rId46" Type="http://schemas.openxmlformats.org/officeDocument/2006/relationships/hyperlink" Target="https://lrv.lt/lt/apie-vyriausybe/strateginis-valdymas/strateginio-valdymo-sistema-2/" TargetMode="External"/><Relationship Id="rId20" Type="http://schemas.openxmlformats.org/officeDocument/2006/relationships/hyperlink" Target="https://www.e-tar.lt/portal/lt/legalAct/TAR.2627131DA3D2/asr" TargetMode="External"/><Relationship Id="rId41" Type="http://schemas.openxmlformats.org/officeDocument/2006/relationships/hyperlink" Target="https://lrv.lt/lt/lietuva-2050/strategijos-kurej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C048C-6A10-472D-97F9-27C3F8D9D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3884</Words>
  <Characters>2215</Characters>
  <Application>Microsoft Office Word</Application>
  <DocSecurity>0</DocSecurity>
  <Lines>18</Lines>
  <Paragraphs>12</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Kas yra viešasis sektorius</vt:lpstr>
      <vt:lpstr>Kas yra viešasis sektorius</vt:lpstr>
    </vt:vector>
  </TitlesOfParts>
  <Company>Hewlett-Packard Company</Company>
  <LinksUpToDate>false</LinksUpToDate>
  <CharactersWithSpaces>6087</CharactersWithSpaces>
  <SharedDoc>false</SharedDoc>
  <HLinks>
    <vt:vector size="24" baseType="variant">
      <vt:variant>
        <vt:i4>5701645</vt:i4>
      </vt:variant>
      <vt:variant>
        <vt:i4>9</vt:i4>
      </vt:variant>
      <vt:variant>
        <vt:i4>0</vt:i4>
      </vt:variant>
      <vt:variant>
        <vt:i4>5</vt:i4>
      </vt:variant>
      <vt:variant>
        <vt:lpwstr>https://lrv.lt/uploads/main/documents/files/Aktuali_informacija/Lietuva 2050/Lietuva 2050_Rengimo metodologija_SUREDAGUOTA_su ES LOGO.pdf</vt:lpwstr>
      </vt:variant>
      <vt:variant>
        <vt:lpwstr/>
      </vt:variant>
      <vt:variant>
        <vt:i4>3932279</vt:i4>
      </vt:variant>
      <vt:variant>
        <vt:i4>6</vt:i4>
      </vt:variant>
      <vt:variant>
        <vt:i4>0</vt:i4>
      </vt:variant>
      <vt:variant>
        <vt:i4>5</vt:i4>
      </vt:variant>
      <vt:variant>
        <vt:lpwstr>https://lrv.lt/lt/lietuva-2050</vt:lpwstr>
      </vt:variant>
      <vt:variant>
        <vt:lpwstr/>
      </vt:variant>
      <vt:variant>
        <vt:i4>6750327</vt:i4>
      </vt:variant>
      <vt:variant>
        <vt:i4>3</vt:i4>
      </vt:variant>
      <vt:variant>
        <vt:i4>0</vt:i4>
      </vt:variant>
      <vt:variant>
        <vt:i4>5</vt:i4>
      </vt:variant>
      <vt:variant>
        <vt:lpwstr>https://lrv.lt/uploads/main/documents/files/4_ LT2030 rodikliu apzvalga_2019-01-14.pdf</vt:lpwstr>
      </vt:variant>
      <vt:variant>
        <vt:lpwstr/>
      </vt:variant>
      <vt:variant>
        <vt:i4>2490471</vt:i4>
      </vt:variant>
      <vt:variant>
        <vt:i4>0</vt:i4>
      </vt:variant>
      <vt:variant>
        <vt:i4>0</vt:i4>
      </vt:variant>
      <vt:variant>
        <vt:i4>5</vt:i4>
      </vt:variant>
      <vt:variant>
        <vt:lpwstr>https://lrv.lt/lt/strateginis-valdymas-1/strateginis-valdymas/aktualiu-planavimo-dokumentu-sarasas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 yra viešasis sektorius</dc:title>
  <dc:subject/>
  <dc:creator>Ilvija</dc:creator>
  <cp:keywords/>
  <cp:lastModifiedBy>Ilvija Pikturnaitė</cp:lastModifiedBy>
  <cp:revision>4</cp:revision>
  <dcterms:created xsi:type="dcterms:W3CDTF">2026-09-22T10:39:00Z</dcterms:created>
  <dcterms:modified xsi:type="dcterms:W3CDTF">2026-09-30T06:09:00Z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af75d9431571100eaa6869303e7aa5103bf4ba8959d0ece27e2aa817fd04d88a</vt:lpwstr>
  </property>
</Properties>
</file>