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41.png" ContentType="image/png"/>
  <Override PartName="/word/media/rId44.png" ContentType="image/png"/>
  <Override PartName="/word/media/rId47.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71"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70"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Start w:id="37" w:name="X8c384a25f0a5667eb2250f3968008f2b60e6557"/>
    <w:p>
      <w:pPr>
        <w:pStyle w:val="Heading3"/>
      </w:pPr>
      <w:r>
        <w:t xml:space="preserve">Analiza kategorijskih promenljivih (Gender, Customer_Type, Type_of_Travel, Class)</w:t>
      </w:r>
    </w:p>
    <w:p>
      <w:pPr>
        <w:pStyle w:val="FirstParagraph"/>
      </w:pPr>
      <w:r>
        <w:t xml:space="preserve">Pored ciljne promenljive, analiziraćemo i preostale kategorijske promenljive kako bismo utvrdili strukturu putnika u našem uzorku. Prvo ćemo prikazati frekvencije i procente za svaku od ovih karakteristika.</w:t>
      </w:r>
    </w:p>
    <w:p>
      <w:pPr>
        <w:pStyle w:val="SourceCode"/>
      </w:pPr>
      <w:r>
        <w:rPr>
          <w:rStyle w:val="CommentTok"/>
        </w:rPr>
        <w:t xml:space="preserve"># Prikaz distribucije za ključne kategorijske promenljive</w:t>
      </w:r>
      <w:r>
        <w:br/>
      </w: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(Gender,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Gender  Broj Procenat</w:t>
      </w:r>
      <w:r>
        <w:br/>
      </w:r>
      <w:r>
        <w:rPr>
          <w:rStyle w:val="VerbatimChar"/>
        </w:rPr>
        <w:t xml:space="preserve">## 1 Female 65899    50.74</w:t>
      </w:r>
      <w:r>
        <w:br/>
      </w:r>
      <w:r>
        <w:rPr>
          <w:rStyle w:val="VerbatimChar"/>
        </w:rPr>
        <w:t xml:space="preserve">## 2   Male 63981    49.26</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(Customer_Type,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Customer_Type   Broj Procenat</w:t>
      </w:r>
      <w:r>
        <w:br/>
      </w:r>
      <w:r>
        <w:rPr>
          <w:rStyle w:val="VerbatimChar"/>
        </w:rPr>
        <w:t xml:space="preserve">## 1 Disloyal Customer  23780    18.31</w:t>
      </w:r>
      <w:r>
        <w:br/>
      </w:r>
      <w:r>
        <w:rPr>
          <w:rStyle w:val="VerbatimChar"/>
        </w:rPr>
        <w:t xml:space="preserve">## 2    Loyal Customer 106100    81.69</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(Type_of_Travel,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Type_of_Travel  Broj Procenat</w:t>
      </w:r>
      <w:r>
        <w:br/>
      </w:r>
      <w:r>
        <w:rPr>
          <w:rStyle w:val="VerbatimChar"/>
        </w:rPr>
        <w:t xml:space="preserve">## 1 Business Travel 89693    69.06</w:t>
      </w:r>
      <w:r>
        <w:br/>
      </w:r>
      <w:r>
        <w:rPr>
          <w:rStyle w:val="VerbatimChar"/>
        </w:rPr>
        <w:t xml:space="preserve">## 2 Personal Travel 40187    30.94</w:t>
      </w:r>
    </w:p>
    <w:p>
      <w:pPr>
        <w:pStyle w:val="SourceCode"/>
      </w:pPr>
      <w:r>
        <w:rPr>
          <w:rStyle w:val="NormalTok"/>
        </w:rPr>
        <w:t xml:space="preserve">data </w:t>
      </w:r>
      <w:r>
        <w:rPr>
          <w:rStyle w:val="SpecialCharTok"/>
        </w:rPr>
        <w:t xml:space="preserve">%&gt;%</w:t>
      </w:r>
      <w:r>
        <w:rPr>
          <w:rStyle w:val="NormalTok"/>
        </w:rPr>
        <w:t xml:space="preserve"> </w:t>
      </w:r>
      <w:r>
        <w:rPr>
          <w:rStyle w:val="FunctionTok"/>
        </w:rPr>
        <w:t xml:space="preserve">count</w:t>
      </w:r>
      <w:r>
        <w:rPr>
          <w:rStyle w:val="NormalTok"/>
        </w:rPr>
        <w:t xml:space="preserve">(Class, </w:t>
      </w:r>
      <w:r>
        <w:rPr>
          <w:rStyle w:val="AttributeTok"/>
        </w:rPr>
        <w:t xml:space="preserve">name =</w:t>
      </w:r>
      <w:r>
        <w:rPr>
          <w:rStyle w:val="NormalTok"/>
        </w:rPr>
        <w:t xml:space="preserve"> </w:t>
      </w:r>
      <w:r>
        <w:rPr>
          <w:rStyle w:val="StringTok"/>
        </w:rPr>
        <w:t xml:space="preserve">"Broj"</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(Broj </w:t>
      </w:r>
      <w:r>
        <w:rPr>
          <w:rStyle w:val="SpecialCharTok"/>
        </w:rPr>
        <w:t xml:space="preserve">/</w:t>
      </w:r>
      <w:r>
        <w:rPr>
          <w:rStyle w:val="NormalTok"/>
        </w:rPr>
        <w:t xml:space="preserve"> </w:t>
      </w:r>
      <w:r>
        <w:rPr>
          <w:rStyle w:val="FunctionTok"/>
        </w:rPr>
        <w:t xml:space="preserve">sum</w:t>
      </w:r>
      <w:r>
        <w:rPr>
          <w:rStyle w:val="NormalTok"/>
        </w:rPr>
        <w:t xml:space="preserve">(Broj)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Class  Broj Procenat</w:t>
      </w:r>
      <w:r>
        <w:br/>
      </w:r>
      <w:r>
        <w:rPr>
          <w:rStyle w:val="VerbatimChar"/>
        </w:rPr>
        <w:t xml:space="preserve">## 1 Business 62160    47.86</w:t>
      </w:r>
      <w:r>
        <w:br/>
      </w:r>
      <w:r>
        <w:rPr>
          <w:rStyle w:val="VerbatimChar"/>
        </w:rPr>
        <w:t xml:space="preserve">## 2      Eco 58309    44.89</w:t>
      </w:r>
      <w:r>
        <w:br/>
      </w:r>
      <w:r>
        <w:rPr>
          <w:rStyle w:val="VerbatimChar"/>
        </w:rPr>
        <w:t xml:space="preserve">## 3 Eco Plus  9411     7.25</w:t>
      </w:r>
    </w:p>
    <w:bookmarkEnd w:id="37"/>
    <w:bookmarkStart w:id="50" w:name="X25f02c334b2aa68d07469e442c7055853e021ac"/>
    <w:p>
      <w:pPr>
        <w:pStyle w:val="Heading3"/>
      </w:pPr>
      <w:r>
        <w:t xml:space="preserve">Da bismo ove odnose lakše sagledali vizuelno, prikazaćemo ih stubićastim dijagramima za svaku kategorijsku promenljivu.</w:t>
      </w:r>
    </w:p>
    <w:p>
      <w:pPr>
        <w:pStyle w:val="SourceCode"/>
      </w:pPr>
      <w:r>
        <w:rPr>
          <w:rStyle w:val="CommentTok"/>
        </w:rPr>
        <w:t xml:space="preserve"># Vizuelizacija kategorijskih promenljivih sa lepšim nazivima i labelama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fill =</w:t>
      </w:r>
      <w:r>
        <w:rPr>
          <w:rStyle w:val="NormalTok"/>
        </w:rPr>
        <w:t xml:space="preserve"> Gender))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putnika po polu"</w:t>
      </w:r>
      <w:r>
        <w:rPr>
          <w:rStyle w:val="NormalTok"/>
        </w:rPr>
        <w:t xml:space="preserve">, </w:t>
      </w:r>
      <w:r>
        <w:rPr>
          <w:rStyle w:val="AttributeTok"/>
        </w:rPr>
        <w:t xml:space="preserve">x =</w:t>
      </w:r>
      <w:r>
        <w:rPr>
          <w:rStyle w:val="NormalTok"/>
        </w:rPr>
        <w:t xml:space="preserve"> </w:t>
      </w:r>
      <w:r>
        <w:rPr>
          <w:rStyle w:val="StringTok"/>
        </w:rPr>
        <w:t xml:space="preserve">"Polni sastav"</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p1</w:t>
      </w:r>
    </w:p>
    <w:p>
      <w:pPr>
        <w:pStyle w:val="FirstParagraph"/>
      </w:pPr>
      <w:r>
        <w:drawing>
          <wp:inline>
            <wp:extent cx="5943600" cy="3714750"/>
            <wp:effectExtent b="0" l="0" r="0" t="0"/>
            <wp:docPr descr="" title="" id="39" name="Picture"/>
            <a:graphic>
              <a:graphicData uri="http://schemas.openxmlformats.org/drawingml/2006/picture">
                <pic:pic>
                  <pic:nvPicPr>
                    <pic:cNvPr descr="airline_satisfaction_files/figure-docx/unnamed-chunk-18-1.png" id="40" name="Picture"/>
                    <pic:cNvPicPr>
                      <a:picLocks noChangeArrowheads="1" noChangeAspect="1"/>
                    </pic:cNvPicPr>
                  </pic:nvPicPr>
                  <pic:blipFill>
                    <a:blip r:embed="rId38"/>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Zastupljenost putnika muškog i ženskog pola je približno ujednačena. To znači da nijedna od ove dve kategorije nije izrazito dominantna u posmatranom uzorku. Međutim, uticaj pola na zadovoljstvo putnika biće moguće ispitati tek u bivarijantnoj analizi, poređenjem raspodele zadovoljstva između ove dve grupe.</w:t>
      </w:r>
    </w:p>
    <w:p>
      <w:pPr>
        <w:pStyle w:val="SourceCode"/>
      </w:pP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Customer_Type, </w:t>
      </w:r>
      <w:r>
        <w:rPr>
          <w:rStyle w:val="AttributeTok"/>
        </w:rPr>
        <w:t xml:space="preserve">fill =</w:t>
      </w:r>
      <w:r>
        <w:rPr>
          <w:rStyle w:val="NormalTok"/>
        </w:rPr>
        <w:t xml:space="preserve"> Customer_Type))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"Odnos lojalnih i dislojalnih korisnika"</w:t>
      </w:r>
      <w:r>
        <w:rPr>
          <w:rStyle w:val="NormalTok"/>
        </w:rPr>
        <w:t xml:space="preserve">, </w:t>
      </w:r>
      <w:r>
        <w:rPr>
          <w:rStyle w:val="AttributeTok"/>
        </w:rPr>
        <w:t xml:space="preserve">x =</w:t>
      </w:r>
      <w:r>
        <w:rPr>
          <w:rStyle w:val="NormalTok"/>
        </w:rPr>
        <w:t xml:space="preserve"> </w:t>
      </w:r>
      <w:r>
        <w:rPr>
          <w:rStyle w:val="StringTok"/>
        </w:rPr>
        <w:t xml:space="preserve">"Tip korisnika"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p2</w:t>
      </w:r>
    </w:p>
    <w:p>
      <w:pPr>
        <w:pStyle w:val="FirstParagraph"/>
      </w:pPr>
      <w:r>
        <w:drawing>
          <wp:inline>
            <wp:extent cx="5943600" cy="3714750"/>
            <wp:effectExtent b="0" l="0" r="0" t="0"/>
            <wp:docPr descr="" title="" id="42" name="Picture"/>
            <a:graphic>
              <a:graphicData uri="http://schemas.openxmlformats.org/drawingml/2006/picture">
                <pic:pic>
                  <pic:nvPicPr>
                    <pic:cNvPr descr="airline_satisfaction_files/figure-docx/unnamed-chunk-19-1.png" id="43" name="Picture"/>
                    <pic:cNvPicPr>
                      <a:picLocks noChangeArrowheads="1" noChangeAspect="1"/>
                    </pic:cNvPicPr>
                  </pic:nvPicPr>
                  <pic:blipFill>
                    <a:blip r:embed="rId4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Uočava se dominacija lojalnih putnika (Loyal Customer), dok redovnih/dislojalnih korisnika ima u znatno manjem broju. Ova kategorija može igrati važnu ulogu u oceni usluga.</w:t>
      </w:r>
    </w:p>
    <w:p>
      <w:pPr>
        <w:pStyle w:val="SourceCode"/>
      </w:pP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Type_of_Travel, </w:t>
      </w:r>
      <w:r>
        <w:rPr>
          <w:rStyle w:val="AttributeTok"/>
        </w:rPr>
        <w:t xml:space="preserve">fill =</w:t>
      </w:r>
      <w:r>
        <w:rPr>
          <w:rStyle w:val="NormalTok"/>
        </w:rPr>
        <w:t xml:space="preserve"> Type_of_Travel))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"Struktura prema svrsi putovanja"</w:t>
      </w:r>
      <w:r>
        <w:rPr>
          <w:rStyle w:val="NormalTok"/>
        </w:rPr>
        <w:t xml:space="preserve">, </w:t>
      </w:r>
      <w:r>
        <w:rPr>
          <w:rStyle w:val="AttributeTok"/>
        </w:rPr>
        <w:t xml:space="preserve">x =</w:t>
      </w:r>
      <w:r>
        <w:rPr>
          <w:rStyle w:val="NormalTok"/>
        </w:rPr>
        <w:t xml:space="preserve"> </w:t>
      </w:r>
      <w:r>
        <w:rPr>
          <w:rStyle w:val="StringTok"/>
        </w:rPr>
        <w:t xml:space="preserve">"Svrha putovanja"</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p3</w:t>
      </w:r>
    </w:p>
    <w:p>
      <w:pPr>
        <w:pStyle w:val="FirstParagraph"/>
      </w:pPr>
      <w:r>
        <w:drawing>
          <wp:inline>
            <wp:extent cx="5943600" cy="3714750"/>
            <wp:effectExtent b="0" l="0" r="0" t="0"/>
            <wp:docPr descr="" title="" id="45" name="Picture"/>
            <a:graphic>
              <a:graphicData uri="http://schemas.openxmlformats.org/drawingml/2006/picture">
                <pic:pic>
                  <pic:nvPicPr>
                    <pic:cNvPr descr="airline_satisfaction_files/figure-docx/unnamed-chunk-20-1.png" id="46" name="Picture"/>
                    <pic:cNvPicPr>
                      <a:picLocks noChangeArrowheads="1" noChangeAspect="1"/>
                    </pic:cNvPicPr>
                  </pic:nvPicPr>
                  <pic:blipFill>
                    <a:blip r:embed="rId4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Poslovna putovanja (Business Travel) znatno nadmašuju lična putovanja (Personal Travel), što sugeriše da aviokompanija najviše posluje sa poslovnim klijentima.</w:t>
      </w:r>
    </w:p>
    <w:p>
      <w:pPr>
        <w:pStyle w:val="SourceCode"/>
      </w:pP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fill =</w:t>
      </w:r>
      <w:r>
        <w:rPr>
          <w:rStyle w:val="NormalTok"/>
        </w:rPr>
        <w:t xml:space="preserve"> Class))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"Zastupljenost klasa leta"</w:t>
      </w:r>
      <w:r>
        <w:rPr>
          <w:rStyle w:val="NormalTok"/>
        </w:rPr>
        <w:t xml:space="preserve">, </w:t>
      </w:r>
      <w:r>
        <w:rPr>
          <w:rStyle w:val="AttributeTok"/>
        </w:rPr>
        <w:t xml:space="preserve">x =</w:t>
      </w:r>
      <w:r>
        <w:rPr>
          <w:rStyle w:val="NormalTok"/>
        </w:rPr>
        <w:t xml:space="preserve"> </w:t>
      </w:r>
      <w:r>
        <w:rPr>
          <w:rStyle w:val="StringTok"/>
        </w:rPr>
        <w:t xml:space="preserve">"Klasa avio-karte"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p4</w:t>
      </w:r>
    </w:p>
    <w:p>
      <w:pPr>
        <w:pStyle w:val="FirstParagraph"/>
      </w:pPr>
      <w:r>
        <w:drawing>
          <wp:inline>
            <wp:extent cx="5943600" cy="3714750"/>
            <wp:effectExtent b="0" l="0" r="0" t="0"/>
            <wp:docPr descr="" title="" id="48" name="Picture"/>
            <a:graphic>
              <a:graphicData uri="http://schemas.openxmlformats.org/drawingml/2006/picture">
                <pic:pic>
                  <pic:nvPicPr>
                    <pic:cNvPr descr="airline_satisfaction_files/figure-docx/unnamed-chunk-21-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Biznis klasa i ekonomska klasa (Eco) čine apsolutnu većinu putnika, dok je Eco Plus zastupljena u znatno manjem obimu.</w:t>
      </w:r>
    </w:p>
    <w:bookmarkEnd w:id="50"/>
    <w:bookmarkStart w:id="69" w:name="X81d7f0917f9fa1cbdd9a8043bfa413c830fdfd1"/>
    <w:p>
      <w:pPr>
        <w:pStyle w:val="Heading3"/>
      </w:pPr>
      <w:r>
        <w:t xml:space="preserve">Analiza numeričkih promenljivih (Age, Flight_Distance, Departure_Delay_in_Minutes, Arrival_Delay_in_Minutes)</w:t>
      </w:r>
    </w:p>
    <w:p>
      <w:pPr>
        <w:pStyle w:val="FirstParagraph"/>
      </w:pPr>
      <w:r>
        <w:t xml:space="preserve">Nakon analize kategorijskih promenljivih, prelazimo na istraživanje kontinuiranih (numeričkih) promenljivih. Cilj ove analize je sagledavanje centralnih tendencija, raspršenja, kao i uočavanje potencijalnih ekstremnih vrednosti (outlier-a) ili zakrivljenosti u distribucijama.</w:t>
      </w:r>
    </w:p>
    <w:p>
      <w:pPr>
        <w:pStyle w:val="BodyText"/>
      </w:pPr>
      <w:r>
        <w:t xml:space="preserve">Prvo ćemo izračunati osnovne statističke pokazatelje za posmatrane numeričke promenljive.</w:t>
      </w:r>
    </w:p>
    <w:p>
      <w:pPr>
        <w:pStyle w:val="SourceCode"/>
      </w:pPr>
      <w:r>
        <w:rPr>
          <w:rStyle w:val="CommentTok"/>
        </w:rPr>
        <w:t xml:space="preserve"># Deskriptivna statistika za numeričke promenljive</w:t>
      </w:r>
      <w:r>
        <w:br/>
      </w:r>
      <w:r>
        <w:rPr>
          <w:rStyle w:val="NormalTok"/>
        </w:rPr>
        <w:t xml:space="preserve">data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(Age, Flight_Distance, Departure_Delay_in_Minutes, Arrival_Delay_in_Minutes) </w:t>
      </w:r>
      <w:r>
        <w:rPr>
          <w:rStyle w:val="SpecialCharTok"/>
        </w:rPr>
        <w:t xml:space="preserve">%&gt;%</w:t>
      </w:r>
      <w:r>
        <w:rPr>
          <w:rStyle w:val="NormalTok"/>
        </w:rPr>
        <w:t xml:space="preserve"> </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Age        Flight_Distance Departure_Delay_in_Minutes</w:t>
      </w:r>
      <w:r>
        <w:br/>
      </w:r>
      <w:r>
        <w:rPr>
          <w:rStyle w:val="VerbatimChar"/>
        </w:rPr>
        <w:t xml:space="preserve">##  Min.   : 7.00   Min.   :  31    Min.   :   0.00           </w:t>
      </w:r>
      <w:r>
        <w:br/>
      </w:r>
      <w:r>
        <w:rPr>
          <w:rStyle w:val="VerbatimChar"/>
        </w:rPr>
        <w:t xml:space="preserve">##  1st Qu.:27.00   1st Qu.: 414    1st Qu.:   0.00           </w:t>
      </w:r>
      <w:r>
        <w:br/>
      </w:r>
      <w:r>
        <w:rPr>
          <w:rStyle w:val="VerbatimChar"/>
        </w:rPr>
        <w:t xml:space="preserve">##  Median :40.00   Median : 844    Median :   0.00           </w:t>
      </w:r>
      <w:r>
        <w:br/>
      </w:r>
      <w:r>
        <w:rPr>
          <w:rStyle w:val="VerbatimChar"/>
        </w:rPr>
        <w:t xml:space="preserve">##  Mean   :39.43   Mean   :1190    Mean   :  14.71           </w:t>
      </w:r>
      <w:r>
        <w:br/>
      </w:r>
      <w:r>
        <w:rPr>
          <w:rStyle w:val="VerbatimChar"/>
        </w:rPr>
        <w:t xml:space="preserve">##  3rd Qu.:51.00   3rd Qu.:1744    3rd Qu.:  12.00           </w:t>
      </w:r>
      <w:r>
        <w:br/>
      </w:r>
      <w:r>
        <w:rPr>
          <w:rStyle w:val="VerbatimChar"/>
        </w:rPr>
        <w:t xml:space="preserve">##  Max.   :85.00   Max.   :4983    Max.   :1592.00           </w:t>
      </w:r>
      <w:r>
        <w:br/>
      </w:r>
      <w:r>
        <w:rPr>
          <w:rStyle w:val="VerbatimChar"/>
        </w:rPr>
        <w:t xml:space="preserve">##                                                            </w:t>
      </w:r>
      <w:r>
        <w:br/>
      </w:r>
      <w:r>
        <w:rPr>
          <w:rStyle w:val="VerbatimChar"/>
        </w:rPr>
        <w:t xml:space="preserve">##  Arrival_Delay_in_Minutes</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15.09         </w:t>
      </w:r>
      <w:r>
        <w:br/>
      </w:r>
      <w:r>
        <w:rPr>
          <w:rStyle w:val="VerbatimChar"/>
        </w:rPr>
        <w:t xml:space="preserve">##  3rd Qu.:  13.00         </w:t>
      </w:r>
      <w:r>
        <w:br/>
      </w:r>
      <w:r>
        <w:rPr>
          <w:rStyle w:val="VerbatimChar"/>
        </w:rPr>
        <w:t xml:space="preserve">##  Max.   :1584.00         </w:t>
      </w:r>
      <w:r>
        <w:br/>
      </w:r>
      <w:r>
        <w:rPr>
          <w:rStyle w:val="VerbatimChar"/>
        </w:rPr>
        <w:t xml:space="preserve">##  NA's   :393</w:t>
      </w:r>
    </w:p>
    <w:p>
      <w:pPr>
        <w:pStyle w:val="FirstParagraph"/>
      </w:pPr>
      <w:r>
        <w:t xml:space="preserve">Da bismo ove distribucije i njihove specifičnosti sagledali vizuelno, prikazaćemo pojedinačne histograme sa gustinom ili boxplot grafike za svaku numeričku promenljivu.</w:t>
      </w:r>
    </w:p>
    <w:p>
      <w:pPr>
        <w:pStyle w:val="SourceCode"/>
      </w:pPr>
      <w:r>
        <w:rPr>
          <w:rStyle w:val="CommentTok"/>
        </w:rPr>
        <w:t xml:space="preserve"># Priprema grafika za numeričke promenljive</w:t>
      </w:r>
      <w:r>
        <w:br/>
      </w:r>
      <w:r>
        <w:rPr>
          <w:rStyle w:val="NormalTok"/>
        </w:rPr>
        <w:t xml:space="preserve">p_age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AttributeTok"/>
        </w:rPr>
        <w:t xml:space="preserve">fill =</w:t>
      </w:r>
      <w:r>
        <w:rPr>
          <w:rStyle w:val="NormalTok"/>
        </w:rPr>
        <w:t xml:space="preserve"> </w:t>
      </w:r>
      <w:r>
        <w:rPr>
          <w:rStyle w:val="StringTok"/>
        </w:rPr>
        <w:t xml:space="preserve">"#3498db"</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starosti putnika"</w:t>
      </w:r>
      <w:r>
        <w:rPr>
          <w:rStyle w:val="NormalTok"/>
        </w:rPr>
        <w:t xml:space="preserve">, </w:t>
      </w:r>
      <w:r>
        <w:rPr>
          <w:rStyle w:val="AttributeTok"/>
        </w:rPr>
        <w:t xml:space="preserve">x =</w:t>
      </w:r>
      <w:r>
        <w:rPr>
          <w:rStyle w:val="NormalTok"/>
        </w:rPr>
        <w:t xml:space="preserve"> </w:t>
      </w:r>
      <w:r>
        <w:rPr>
          <w:rStyle w:val="StringTok"/>
        </w:rPr>
        <w:t xml:space="preserve">"Godine starosti (Age)"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p_age</w:t>
      </w:r>
    </w:p>
    <w:p>
      <w:pPr>
        <w:pStyle w:val="FirstParagraph"/>
      </w:pPr>
      <w:r>
        <w:drawing>
          <wp:inline>
            <wp:extent cx="5943600" cy="3714750"/>
            <wp:effectExtent b="0" l="0" r="0" t="0"/>
            <wp:docPr descr="" title="" id="52" name="Picture"/>
            <a:graphic>
              <a:graphicData uri="http://schemas.openxmlformats.org/drawingml/2006/picture">
                <pic:pic>
                  <pic:nvPicPr>
                    <pic:cNvPr descr="airline_satisfaction_files/figure-docx/unnamed-chunk-23-1.png" id="53" name="Picture"/>
                    <pic:cNvPicPr>
                      <a:picLocks noChangeArrowheads="1" noChangeAspect="1"/>
                    </pic:cNvPicPr>
                  </pic:nvPicPr>
                  <pic:blipFill>
                    <a:blip r:embed="rId51"/>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Starost putnika se kreće od 7 do 85 godina, pri čemu je najveća koncentracija putnika u starosnoj dobi između 20 i 60 godina (sa izraženim vrhuncem u rasponu od 40 do 50 godina). Distribucija uglavnom podseća na zvonastu raspodelu sa težištem u radno sposobnoj populaciji, što je u potpunosti u skladu sa prethodnim saznanjem da veći deo uzorka čine poslovni putnici.</w:t>
      </w:r>
    </w:p>
    <w:p>
      <w:pPr>
        <w:pStyle w:val="SourceCode"/>
      </w:pPr>
      <w:r>
        <w:rPr>
          <w:rStyle w:val="NormalTok"/>
        </w:rPr>
        <w:t xml:space="preserve">p_dist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Flight_Distance))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"#2ecc71"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dužine leta"</w:t>
      </w:r>
      <w:r>
        <w:rPr>
          <w:rStyle w:val="NormalTok"/>
        </w:rPr>
        <w:t xml:space="preserve">, </w:t>
      </w:r>
      <w:r>
        <w:rPr>
          <w:rStyle w:val="AttributeTok"/>
        </w:rPr>
        <w:t xml:space="preserve">x =</w:t>
      </w:r>
      <w:r>
        <w:rPr>
          <w:rStyle w:val="NormalTok"/>
        </w:rPr>
        <w:t xml:space="preserve"> </w:t>
      </w:r>
      <w:r>
        <w:rPr>
          <w:rStyle w:val="StringTok"/>
        </w:rPr>
        <w:t xml:space="preserve">"Dužina leta u miljama (Flight_Distance)"</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p_dist</w:t>
      </w:r>
    </w:p>
    <w:p>
      <w:pPr>
        <w:pStyle w:val="FirstParagraph"/>
      </w:pPr>
      <w:r>
        <w:drawing>
          <wp:inline>
            <wp:extent cx="5943600" cy="3714750"/>
            <wp:effectExtent b="0" l="0" r="0" t="0"/>
            <wp:docPr descr="" title="" id="55" name="Picture"/>
            <a:graphic>
              <a:graphicData uri="http://schemas.openxmlformats.org/drawingml/2006/picture">
                <pic:pic>
                  <pic:nvPicPr>
                    <pic:cNvPr descr="airline_satisfaction_files/figure-docx/unnamed-chunk-24-1.png" id="56"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Distribucija dužine leta pokazuje izraženu pozitivnu zakrivljenost (asimetriju udesno). Najveći broj letova obuhvata kraće i srednje relacije (sa najfrekventnijim opsegom između 300 i 1000 milja), dok je učestalost letova na dužim relacijama (preko 2000 milja) srazmerno manja.</w:t>
      </w:r>
    </w:p>
    <w:p>
      <w:pPr>
        <w:pStyle w:val="SourceCode"/>
      </w:pPr>
      <w:r>
        <w:rPr>
          <w:rStyle w:val="NormalTok"/>
        </w:rPr>
        <w:t xml:space="preserve">p_dep_delay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Departure_Delay_in_Minutes))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polasku"</w:t>
      </w:r>
      <w:r>
        <w:rPr>
          <w:rStyle w:val="NormalTok"/>
        </w:rPr>
        <w:t xml:space="preserve">, </w:t>
      </w:r>
      <w:r>
        <w:rPr>
          <w:rStyle w:val="AttributeTok"/>
        </w:rPr>
        <w:t xml:space="preserve">x =</w:t>
      </w:r>
      <w:r>
        <w:rPr>
          <w:rStyle w:val="NormalTok"/>
        </w:rPr>
        <w:t xml:space="preserve"> </w:t>
      </w:r>
      <w:r>
        <w:rPr>
          <w:rStyle w:val="StringTok"/>
        </w:rPr>
        <w:t xml:space="preserve">"Kašnjenje u polasku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p_dep_delay</w:t>
      </w:r>
    </w:p>
    <w:p>
      <w:pPr>
        <w:pStyle w:val="FirstParagraph"/>
      </w:pPr>
      <w:r>
        <w:drawing>
          <wp:inline>
            <wp:extent cx="5943600" cy="3714750"/>
            <wp:effectExtent b="0" l="0" r="0" t="0"/>
            <wp:docPr descr="" title="" id="58" name="Picture"/>
            <a:graphic>
              <a:graphicData uri="http://schemas.openxmlformats.org/drawingml/2006/picture">
                <pic:pic>
                  <pic:nvPicPr>
                    <pic:cNvPr descr="airline_satisfaction_files/figure-docx/unnamed-chunk-25-1.png" id="59" name="Picture"/>
                    <pic:cNvPicPr>
                      <a:picLocks noChangeArrowheads="1" noChangeAspect="1"/>
                    </pic:cNvPicPr>
                  </pic:nvPicPr>
                  <pic:blipFill>
                    <a:blip r:embed="rId57"/>
                    <a:stretch>
                      <a:fillRect/>
                    </a:stretch>
                  </pic:blipFill>
                  <pic:spPr bwMode="auto">
                    <a:xfrm>
                      <a:off x="0" y="0"/>
                      <a:ext cx="5943600" cy="3714750"/>
                    </a:xfrm>
                    <a:prstGeom prst="rect">
                      <a:avLst/>
                    </a:prstGeom>
                    <a:noFill/>
                    <a:ln w="9525">
                      <a:noFill/>
                      <a:headEnd/>
                      <a:tailEnd/>
                    </a:ln>
                  </pic:spPr>
                </pic:pic>
              </a:graphicData>
            </a:graphic>
          </wp:inline>
        </w:drawing>
      </w:r>
      <w:r>
        <w:t xml:space="preserve"> </w:t>
      </w:r>
      <w:r>
        <w:t xml:space="preserve">Promenljiva kašnjenja pri polasku ima izrazito asimetričnu raspodelu sa teškim desnim repom. Ogromna većina letova polazi bez ikakvog kašnjenja ili sa minimalnim odstupanjem (vrednosti oko 0), dok mali broj letova beleži duža kašnjenja. Ove vrednosti predstavljaju potencijalno ekstremne opservacije (outlier-e), što bi dodatno trebalo proveriti pomoću boxplot grafikona ili IQR kriterijuma.</w:t>
      </w:r>
    </w:p>
    <w:p>
      <w:pPr>
        <w:pStyle w:val="BodyText"/>
      </w:pPr>
      <w:r>
        <w:t xml:space="preserve">Da bismo dodatno proverili postojanje potencijalnih ekstremnih vrednosti, prikazaćemo boxplot promenljive</w:t>
      </w:r>
      <w:r>
        <w:t xml:space="preserve"> </w:t>
      </w:r>
      <w:r>
        <w:rPr>
          <w:rStyle w:val="VerbatimChar"/>
        </w:rPr>
        <w:t xml:space="preserve">Departure_Delay_in_Minutes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Departure_Delay_in_Minutes))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polasku"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polasku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p>
    <w:p>
      <w:pPr>
        <w:pStyle w:val="FirstParagraph"/>
      </w:pPr>
      <w:r>
        <w:drawing>
          <wp:inline>
            <wp:extent cx="5943600" cy="3714750"/>
            <wp:effectExtent b="0" l="0" r="0" t="0"/>
            <wp:docPr descr="" title="" id="61" name="Picture"/>
            <a:graphic>
              <a:graphicData uri="http://schemas.openxmlformats.org/drawingml/2006/picture">
                <pic:pic>
                  <pic:nvPicPr>
                    <pic:cNvPr descr="airline_satisfaction_files/figure-docx/unnamed-chunk-26-1.png" id="62" name="Picture"/>
                    <pic:cNvPicPr>
                      <a:picLocks noChangeArrowheads="1" noChangeAspect="1"/>
                    </pic:cNvPicPr>
                  </pic:nvPicPr>
                  <pic:blipFill>
                    <a:blip r:embed="rId60"/>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potvrđuje da je većina vrednosti kašnjenja pri polasku koncentrisana oko nule, dok je interkvartilni raspon veoma mali. Iznad gornjeg brka (whisker) nalazi se veći broj potencijalno ekstremnih opservacija, koje se protežu do približno 1.600 minuta. Iako ove opservacije predstavljaju manji deo ukupnog broja letova, njihov broj je prema IQR kriterijumu relativno veliki. Ovakav raspored potvrđuje izraženu asimetriju distribucije udesno i ukazuje na postojanje dužih kašnjenja kod manjeg dela letova.</w:t>
      </w:r>
    </w:p>
    <w:p>
      <w:pPr>
        <w:pStyle w:val="BodyText"/>
      </w:pPr>
      <w:r>
        <w:t xml:space="preserve">Ove opservacije nećemo automatski uklanjati, jer mogu predstavljati stvarna kašnjenja i važnu informaciju za analizu zadovoljstva putnika. Njihov uticaj biće dodatno razmotren u kasnijim fazama analize i pripreme podataka.</w:t>
      </w:r>
    </w:p>
    <w:p>
      <w:pPr>
        <w:pStyle w:val="SourceCode"/>
      </w:pPr>
      <w:r>
        <w:rPr>
          <w:rStyle w:val="NormalTok"/>
        </w:rPr>
        <w:t xml:space="preserve">p_arr_delay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Arrival_Delay_in_Minutes))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"Distribucija kašnjenja u dolasku"</w:t>
      </w:r>
      <w:r>
        <w:rPr>
          <w:rStyle w:val="NormalTok"/>
        </w:rPr>
        <w:t xml:space="preserve">, </w:t>
      </w:r>
      <w:r>
        <w:rPr>
          <w:rStyle w:val="AttributeTok"/>
        </w:rPr>
        <w:t xml:space="preserve">x =</w:t>
      </w:r>
      <w:r>
        <w:rPr>
          <w:rStyle w:val="NormalTok"/>
        </w:rPr>
        <w:t xml:space="preserve"> </w:t>
      </w:r>
      <w:r>
        <w:rPr>
          <w:rStyle w:val="StringTok"/>
        </w:rPr>
        <w:t xml:space="preserve">"Kašnjenje u dolasku (minuti)"</w:t>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p_arr_delay</w:t>
      </w:r>
    </w:p>
    <w:p>
      <w:pPr>
        <w:pStyle w:val="FirstParagraph"/>
      </w:pPr>
      <w:r>
        <w:drawing>
          <wp:inline>
            <wp:extent cx="5943600" cy="3714750"/>
            <wp:effectExtent b="0" l="0" r="0" t="0"/>
            <wp:docPr descr="" title="" id="64" name="Picture"/>
            <a:graphic>
              <a:graphicData uri="http://schemas.openxmlformats.org/drawingml/2006/picture">
                <pic:pic>
                  <pic:nvPicPr>
                    <pic:cNvPr descr="airline_satisfaction_files/figure-docx/unnamed-chunk-27-1.png" id="65" name="Picture"/>
                    <pic:cNvPicPr>
                      <a:picLocks noChangeArrowheads="1" noChangeAspect="1"/>
                    </pic:cNvPicPr>
                  </pic:nvPicPr>
                  <pic:blipFill>
                    <a:blip r:embed="rId6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Distribucija kašnjenja u dolasku pokazuje sličan obrazac kao distribucija kašnjenja pri polasku. Većina putnika stiže na odredište bez kašnjenja ili sa minimalnim kašnjenjem, dok se manji broj opservacija sa dužim kašnjenjima proteže ka desnoj strani distribucije. Ovakav oblik ukazuje na izraženu asimetriju udesno i prisustvo potencijalno ekstremnih vrednosti.</w:t>
      </w:r>
    </w:p>
    <w:p>
      <w:pPr>
        <w:pStyle w:val="BodyText"/>
      </w:pPr>
      <w:r>
        <w:t xml:space="preserve">Da bismo dodatno proverili potencijalne ekstremne vrednosti, prikazaćemo boxplot promenljive</w:t>
      </w:r>
      <w:r>
        <w:t xml:space="preserve"> </w:t>
      </w:r>
      <w:r>
        <w:rPr>
          <w:rStyle w:val="VerbatimChar"/>
        </w:rPr>
        <w:t xml:space="preserve">Arrival_Delay_in_Minutes</w:t>
      </w:r>
      <w:r>
        <w:t xml:space="preserve">.</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y =</w:t>
      </w:r>
      <w:r>
        <w:rPr>
          <w:rStyle w:val="NormalTok"/>
        </w:rPr>
        <w:t xml:space="preserve"> Arrival_Delay_in_Minutes))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"#e74c3c"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kašnjenja pri dolasku"</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"Kašnjenje pri dolasku (minuti)"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br/>
      </w:r>
      <w:r>
        <w:rPr>
          <w:rStyle w:val="NormalTok"/>
        </w:rPr>
        <w:t xml:space="preserve">  )</w:t>
      </w:r>
    </w:p>
    <w:p>
      <w:pPr>
        <w:pStyle w:val="FirstParagraph"/>
      </w:pPr>
      <w:r>
        <w:drawing>
          <wp:inline>
            <wp:extent cx="5943600" cy="3714750"/>
            <wp:effectExtent b="0" l="0" r="0" t="0"/>
            <wp:docPr descr="" title="" id="67" name="Picture"/>
            <a:graphic>
              <a:graphicData uri="http://schemas.openxmlformats.org/drawingml/2006/picture">
                <pic:pic>
                  <pic:nvPicPr>
                    <pic:cNvPr descr="airline_satisfaction_files/figure-docx/unnamed-chunk-28-1.png" id="68" name="Picture"/>
                    <pic:cNvPicPr>
                      <a:picLocks noChangeArrowheads="1" noChangeAspect="1"/>
                    </pic:cNvPicPr>
                  </pic:nvPicPr>
                  <pic:blipFill>
                    <a:blip r:embed="rId66"/>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Boxplot pokazuje da je većina vrednosti kašnjenja pri dolasku koncentrisana oko nule, dok je interkvartilni raspon mali. Iznad gornjeg brka nalazi se veći broj potencijalno ekstremnih opservacija, koje predstavljaju duža kašnjenja. Ovakav raspored dodatno potvrđuje izraženu asimetriju distribucije udesno.</w:t>
      </w:r>
    </w:p>
    <w:p>
      <w:pPr>
        <w:pStyle w:val="BodyText"/>
      </w:pPr>
      <w:r>
        <w:t xml:space="preserve">Potencijalne ekstremne vrednosti nećemo automatski uklanjati, jer mogu predstavljati stvarna kašnjenja i važnu informaciju za analizu zadovoljstva putnika. Njihov uticaj biće dodatno razmotren u kasnijim fazama analize i pripreme podataka. Povezanost između kašnjenja pri polasku i kašnjenja pri dolasku biće ispitana u okviru bivarijantne analize.</w:t>
      </w:r>
    </w:p>
    <w:bookmarkEnd w:id="69"/>
    <w:bookmarkEnd w:id="70"/>
    <w:bookmarkEnd w:id="71"/>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2026-10-19T12:16:07Z</dcterms:created>
  <dcterms:modified xsi:type="dcterms:W3CDTF">2026-10-19T12:16:07Z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