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6508A" w14:textId="77777777" w:rsidR="0001449F" w:rsidRDefault="0001449F" w:rsidP="0001449F">
      <w:pPr>
        <w:pStyle w:val="ListParagraph"/>
        <w:numPr>
          <w:ilvl w:val="0"/>
          <w:numId w:val="2"/>
        </w:numPr>
      </w:pPr>
      <w:r>
        <w:t>What are</w:t>
      </w:r>
      <w:bookmarkStart w:id="0" w:name="_GoBack"/>
      <w:bookmarkEnd w:id="0"/>
      <w:r>
        <w:t xml:space="preserve"> three conclusions we can make about Kickstarter campaigns given the provided data?</w:t>
      </w:r>
    </w:p>
    <w:p w14:paraId="0E0CA5B0" w14:textId="77777777" w:rsidR="0001449F" w:rsidRDefault="0001449F" w:rsidP="0001449F">
      <w:pPr>
        <w:pStyle w:val="ListParagraph"/>
        <w:numPr>
          <w:ilvl w:val="1"/>
          <w:numId w:val="2"/>
        </w:numPr>
      </w:pPr>
      <w:r>
        <w:t>Music, Film and Video, and Theater are the 3 top highest categories that are successful.</w:t>
      </w:r>
    </w:p>
    <w:p w14:paraId="163D059D" w14:textId="77777777" w:rsidR="0001449F" w:rsidRDefault="0001449F" w:rsidP="0001449F">
      <w:pPr>
        <w:pStyle w:val="ListParagraph"/>
        <w:numPr>
          <w:ilvl w:val="1"/>
          <w:numId w:val="2"/>
        </w:numPr>
      </w:pPr>
      <w:r>
        <w:t xml:space="preserve">The highest number of </w:t>
      </w:r>
      <w:proofErr w:type="spellStart"/>
      <w:r>
        <w:t>kickstarters</w:t>
      </w:r>
      <w:proofErr w:type="spellEnd"/>
      <w:r>
        <w:t xml:space="preserve"> are plays.</w:t>
      </w:r>
    </w:p>
    <w:p w14:paraId="3E0D261C" w14:textId="77777777" w:rsidR="0001449F" w:rsidRDefault="00165736" w:rsidP="0001449F">
      <w:pPr>
        <w:pStyle w:val="ListParagraph"/>
        <w:numPr>
          <w:ilvl w:val="1"/>
          <w:numId w:val="2"/>
        </w:numPr>
      </w:pPr>
      <w:r>
        <w:t>The highest success % is in music.</w:t>
      </w:r>
    </w:p>
    <w:p w14:paraId="197BE45B" w14:textId="77777777" w:rsidR="0001449F" w:rsidRDefault="0001449F" w:rsidP="00165736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40F424EA" w14:textId="77777777" w:rsidR="00165736" w:rsidRDefault="00A6245A" w:rsidP="00165736">
      <w:pPr>
        <w:pStyle w:val="ListParagraph"/>
        <w:numPr>
          <w:ilvl w:val="1"/>
          <w:numId w:val="2"/>
        </w:numPr>
      </w:pPr>
      <w:r>
        <w:t>The data set is just a sample, but having a bigger sample will give us more accurate %.</w:t>
      </w:r>
    </w:p>
    <w:p w14:paraId="71390523" w14:textId="77777777" w:rsidR="0001449F" w:rsidRDefault="0001449F" w:rsidP="00CF74E8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338711A4" w14:textId="77777777" w:rsidR="00CF74E8" w:rsidRDefault="00CF74E8" w:rsidP="00CF74E8">
      <w:pPr>
        <w:pStyle w:val="ListParagraph"/>
        <w:numPr>
          <w:ilvl w:val="1"/>
          <w:numId w:val="2"/>
        </w:numPr>
      </w:pPr>
      <w:r>
        <w:t>Success Rates by Category</w:t>
      </w:r>
    </w:p>
    <w:p w14:paraId="5FBC9937" w14:textId="77777777" w:rsidR="00CF74E8" w:rsidRDefault="00CF74E8" w:rsidP="00CF74E8">
      <w:pPr>
        <w:pStyle w:val="ListParagraph"/>
        <w:numPr>
          <w:ilvl w:val="1"/>
          <w:numId w:val="2"/>
        </w:numPr>
      </w:pPr>
      <w:r>
        <w:t>% Funded by Outcomes</w:t>
      </w:r>
    </w:p>
    <w:p w14:paraId="614ECE9C" w14:textId="77777777" w:rsidR="00CF74E8" w:rsidRDefault="00CF74E8" w:rsidP="00CF74E8">
      <w:pPr>
        <w:pStyle w:val="ListParagraph"/>
        <w:numPr>
          <w:ilvl w:val="1"/>
          <w:numId w:val="2"/>
        </w:numPr>
      </w:pPr>
      <w:r>
        <w:t>Spotlight vs Non Spotlight Success Rates</w:t>
      </w:r>
    </w:p>
    <w:p w14:paraId="27592BA3" w14:textId="77777777" w:rsidR="0001449F" w:rsidRDefault="00165736" w:rsidP="0001449F">
      <w:r>
        <w:rPr>
          <w:noProof/>
          <w:lang w:eastAsia="en-US"/>
        </w:rPr>
        <w:drawing>
          <wp:inline distT="0" distB="0" distL="0" distR="0" wp14:anchorId="19B34F90" wp14:editId="0F000A3A">
            <wp:extent cx="5943600" cy="3468370"/>
            <wp:effectExtent l="0" t="0" r="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EBD473" w14:textId="77777777" w:rsidR="00165736" w:rsidRDefault="00165736" w:rsidP="0001449F">
      <w:r>
        <w:rPr>
          <w:noProof/>
          <w:lang w:eastAsia="en-US"/>
        </w:rPr>
        <w:lastRenderedPageBreak/>
        <w:drawing>
          <wp:inline distT="0" distB="0" distL="0" distR="0" wp14:anchorId="0F950E6B" wp14:editId="6456CCF3">
            <wp:extent cx="5943600" cy="3141980"/>
            <wp:effectExtent l="0" t="0" r="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41F726" w14:textId="77777777" w:rsidR="00165736" w:rsidRPr="0001449F" w:rsidRDefault="00165736" w:rsidP="0001449F">
      <w:r>
        <w:rPr>
          <w:noProof/>
          <w:lang w:eastAsia="en-US"/>
        </w:rPr>
        <w:drawing>
          <wp:inline distT="0" distB="0" distL="0" distR="0" wp14:anchorId="71017B50" wp14:editId="60E4A1A0">
            <wp:extent cx="5943600" cy="3385820"/>
            <wp:effectExtent l="0" t="0" r="0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65736" w:rsidRPr="0001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37FD0"/>
    <w:multiLevelType w:val="hybridMultilevel"/>
    <w:tmpl w:val="9D68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72B00"/>
    <w:multiLevelType w:val="hybridMultilevel"/>
    <w:tmpl w:val="53EC0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58"/>
    <w:rsid w:val="0001449F"/>
    <w:rsid w:val="00094E58"/>
    <w:rsid w:val="00165736"/>
    <w:rsid w:val="005E43BD"/>
    <w:rsid w:val="00A6245A"/>
    <w:rsid w:val="00C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021"/>
  <w15:chartTrackingRefBased/>
  <w15:docId w15:val="{F05ABEFC-2882-495F-8416-A0E6024F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phil_sohn\Desktop\DATA%20ANALYTICS%20Program\HW%206-7\StarterBoo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C:\Users\phil_sohn\Desktop\DATA%20ANALYTICS%20Program\HW%206-7\StarterBoo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C:\Users\phil_sohn\Desktop\DATA%20ANALYTICS%20Program\HW%206-7\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[StarterBook.xlsx]parent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by Parent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category'!$B$5:$B$14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1"/>
          <c:order val="1"/>
          <c:tx>
            <c:strRef>
              <c:f>'parent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category'!$C$5:$C$14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'parent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category'!$D$5:$D$14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ser>
          <c:idx val="3"/>
          <c:order val="3"/>
          <c:tx>
            <c:strRef>
              <c:f>'parent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'parent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category'!$E$5:$E$14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1701795952"/>
        <c:axId val="-1701793120"/>
      </c:barChart>
      <c:catAx>
        <c:axId val="-170179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1793120"/>
        <c:crosses val="autoZero"/>
        <c:auto val="1"/>
        <c:lblAlgn val="ctr"/>
        <c:lblOffset val="100"/>
        <c:noMultiLvlLbl val="0"/>
      </c:catAx>
      <c:valAx>
        <c:axId val="-17017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0179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 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by Sub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 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category'!$B$6:$B$47</c:f>
              <c:numCache>
                <c:formatCode>General</c:formatCode>
                <c:ptCount val="41"/>
                <c:pt idx="1">
                  <c:v>20.0</c:v>
                </c:pt>
                <c:pt idx="2">
                  <c:v>24.0</c:v>
                </c:pt>
                <c:pt idx="10">
                  <c:v>20.0</c:v>
                </c:pt>
                <c:pt idx="18">
                  <c:v>20.0</c:v>
                </c:pt>
                <c:pt idx="29">
                  <c:v>40.0</c:v>
                </c:pt>
                <c:pt idx="32">
                  <c:v>18.0</c:v>
                </c:pt>
                <c:pt idx="33">
                  <c:v>17.0</c:v>
                </c:pt>
                <c:pt idx="36">
                  <c:v>10.0</c:v>
                </c:pt>
                <c:pt idx="38">
                  <c:v>60.0</c:v>
                </c:pt>
                <c:pt idx="39">
                  <c:v>100.0</c:v>
                </c:pt>
                <c:pt idx="40">
                  <c:v>20.0</c:v>
                </c:pt>
              </c:numCache>
            </c:numRef>
          </c:val>
        </c:ser>
        <c:ser>
          <c:idx val="1"/>
          <c:order val="1"/>
          <c:tx>
            <c:strRef>
              <c:f>'sub 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category'!$C$6:$C$47</c:f>
              <c:numCache>
                <c:formatCode>General</c:formatCode>
                <c:ptCount val="41"/>
                <c:pt idx="0">
                  <c:v>100.0</c:v>
                </c:pt>
                <c:pt idx="3">
                  <c:v>40.0</c:v>
                </c:pt>
                <c:pt idx="6">
                  <c:v>80.0</c:v>
                </c:pt>
                <c:pt idx="8">
                  <c:v>40.0</c:v>
                </c:pt>
                <c:pt idx="9">
                  <c:v>40.0</c:v>
                </c:pt>
                <c:pt idx="10">
                  <c:v>120.0</c:v>
                </c:pt>
                <c:pt idx="11">
                  <c:v>20.0</c:v>
                </c:pt>
                <c:pt idx="13">
                  <c:v>20.0</c:v>
                </c:pt>
                <c:pt idx="14">
                  <c:v>60.0</c:v>
                </c:pt>
                <c:pt idx="15">
                  <c:v>11.0</c:v>
                </c:pt>
                <c:pt idx="17">
                  <c:v>40.0</c:v>
                </c:pt>
                <c:pt idx="18">
                  <c:v>60.0</c:v>
                </c:pt>
                <c:pt idx="19">
                  <c:v>20.0</c:v>
                </c:pt>
                <c:pt idx="21">
                  <c:v>20.0</c:v>
                </c:pt>
                <c:pt idx="22">
                  <c:v>57.0</c:v>
                </c:pt>
                <c:pt idx="23">
                  <c:v>20.0</c:v>
                </c:pt>
                <c:pt idx="24">
                  <c:v>353.0</c:v>
                </c:pt>
                <c:pt idx="27">
                  <c:v>20.0</c:v>
                </c:pt>
                <c:pt idx="32">
                  <c:v>2.0</c:v>
                </c:pt>
                <c:pt idx="33">
                  <c:v>80.0</c:v>
                </c:pt>
                <c:pt idx="36">
                  <c:v>47.0</c:v>
                </c:pt>
                <c:pt idx="37">
                  <c:v>100.0</c:v>
                </c:pt>
                <c:pt idx="38">
                  <c:v>120.0</c:v>
                </c:pt>
                <c:pt idx="39">
                  <c:v>60.0</c:v>
                </c:pt>
              </c:numCache>
            </c:numRef>
          </c:val>
        </c:ser>
        <c:ser>
          <c:idx val="2"/>
          <c:order val="2"/>
          <c:tx>
            <c:strRef>
              <c:f>'sub 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category'!$D$6:$D$47</c:f>
              <c:numCache>
                <c:formatCode>General</c:formatCode>
                <c:ptCount val="41"/>
                <c:pt idx="8">
                  <c:v>20.0</c:v>
                </c:pt>
                <c:pt idx="24">
                  <c:v>19.0</c:v>
                </c:pt>
                <c:pt idx="31">
                  <c:v>6.0</c:v>
                </c:pt>
                <c:pt idx="33">
                  <c:v>5.0</c:v>
                </c:pt>
              </c:numCache>
            </c:numRef>
          </c:val>
        </c:ser>
        <c:ser>
          <c:idx val="3"/>
          <c:order val="3"/>
          <c:tx>
            <c:strRef>
              <c:f>'sub 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 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category'!$E$6:$E$47</c:f>
              <c:numCache>
                <c:formatCode>General</c:formatCode>
                <c:ptCount val="41"/>
                <c:pt idx="4">
                  <c:v>40.0</c:v>
                </c:pt>
                <c:pt idx="5">
                  <c:v>180.0</c:v>
                </c:pt>
                <c:pt idx="7">
                  <c:v>40.0</c:v>
                </c:pt>
                <c:pt idx="12">
                  <c:v>140.0</c:v>
                </c:pt>
                <c:pt idx="13">
                  <c:v>140.0</c:v>
                </c:pt>
                <c:pt idx="15">
                  <c:v>9.0</c:v>
                </c:pt>
                <c:pt idx="16">
                  <c:v>20.0</c:v>
                </c:pt>
                <c:pt idx="18">
                  <c:v>60.0</c:v>
                </c:pt>
                <c:pt idx="20">
                  <c:v>60.0</c:v>
                </c:pt>
                <c:pt idx="22">
                  <c:v>103.0</c:v>
                </c:pt>
                <c:pt idx="24">
                  <c:v>694.0</c:v>
                </c:pt>
                <c:pt idx="25">
                  <c:v>40.0</c:v>
                </c:pt>
                <c:pt idx="26">
                  <c:v>20.0</c:v>
                </c:pt>
                <c:pt idx="28">
                  <c:v>260.0</c:v>
                </c:pt>
                <c:pt idx="30">
                  <c:v>60.0</c:v>
                </c:pt>
                <c:pt idx="31">
                  <c:v>34.0</c:v>
                </c:pt>
                <c:pt idx="32">
                  <c:v>40.0</c:v>
                </c:pt>
                <c:pt idx="33">
                  <c:v>85.0</c:v>
                </c:pt>
                <c:pt idx="34">
                  <c:v>80.0</c:v>
                </c:pt>
                <c:pt idx="35">
                  <c:v>60.0</c:v>
                </c:pt>
                <c:pt idx="38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1737030432"/>
        <c:axId val="-1737027600"/>
      </c:barChart>
      <c:catAx>
        <c:axId val="-173703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7027600"/>
        <c:crosses val="autoZero"/>
        <c:auto val="1"/>
        <c:lblAlgn val="ctr"/>
        <c:lblOffset val="100"/>
        <c:noMultiLvlLbl val="0"/>
      </c:catAx>
      <c:valAx>
        <c:axId val="-173702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703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[StarterBook.xlsx]creation date!PivotTable3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Projects</a:t>
            </a:r>
            <a:r>
              <a:rPr lang="en-US" baseline="0"/>
              <a:t> by Creation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'creation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'creation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'creation date'!$B$6:$B$18</c:f>
              <c:numCache>
                <c:formatCode>General</c:formatCode>
                <c:ptCount val="12"/>
                <c:pt idx="0">
                  <c:v>34.0</c:v>
                </c:pt>
                <c:pt idx="1">
                  <c:v>27.0</c:v>
                </c:pt>
                <c:pt idx="2">
                  <c:v>28.0</c:v>
                </c:pt>
                <c:pt idx="3">
                  <c:v>27.0</c:v>
                </c:pt>
                <c:pt idx="4">
                  <c:v>26.0</c:v>
                </c:pt>
                <c:pt idx="5">
                  <c:v>27.0</c:v>
                </c:pt>
                <c:pt idx="6">
                  <c:v>43.0</c:v>
                </c:pt>
                <c:pt idx="7">
                  <c:v>33.0</c:v>
                </c:pt>
                <c:pt idx="8">
                  <c:v>24.0</c:v>
                </c:pt>
                <c:pt idx="9">
                  <c:v>20.0</c:v>
                </c:pt>
                <c:pt idx="10">
                  <c:v>37.0</c:v>
                </c:pt>
                <c:pt idx="11">
                  <c:v>23.0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'creation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'creation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'creation date'!$C$6:$C$18</c:f>
              <c:numCache>
                <c:formatCode>General</c:formatCode>
                <c:ptCount val="12"/>
                <c:pt idx="0">
                  <c:v>149.0</c:v>
                </c:pt>
                <c:pt idx="1">
                  <c:v>106.0</c:v>
                </c:pt>
                <c:pt idx="2">
                  <c:v>108.0</c:v>
                </c:pt>
                <c:pt idx="3">
                  <c:v>102.0</c:v>
                </c:pt>
                <c:pt idx="4">
                  <c:v>126.0</c:v>
                </c:pt>
                <c:pt idx="5">
                  <c:v>147.0</c:v>
                </c:pt>
                <c:pt idx="6">
                  <c:v>150.0</c:v>
                </c:pt>
                <c:pt idx="7">
                  <c:v>134.0</c:v>
                </c:pt>
                <c:pt idx="8">
                  <c:v>127.0</c:v>
                </c:pt>
                <c:pt idx="9">
                  <c:v>149.0</c:v>
                </c:pt>
                <c:pt idx="10">
                  <c:v>114.0</c:v>
                </c:pt>
                <c:pt idx="11">
                  <c:v>118.0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'creation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'creation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'creation date'!$D$6:$D$18</c:f>
              <c:numCache>
                <c:formatCode>General</c:formatCode>
                <c:ptCount val="12"/>
                <c:pt idx="0">
                  <c:v>182.0</c:v>
                </c:pt>
                <c:pt idx="1">
                  <c:v>202.0</c:v>
                </c:pt>
                <c:pt idx="2">
                  <c:v>180.0</c:v>
                </c:pt>
                <c:pt idx="3">
                  <c:v>192.0</c:v>
                </c:pt>
                <c:pt idx="4">
                  <c:v>234.0</c:v>
                </c:pt>
                <c:pt idx="5">
                  <c:v>211.0</c:v>
                </c:pt>
                <c:pt idx="6">
                  <c:v>194.0</c:v>
                </c:pt>
                <c:pt idx="7">
                  <c:v>166.0</c:v>
                </c:pt>
                <c:pt idx="8">
                  <c:v>147.0</c:v>
                </c:pt>
                <c:pt idx="9">
                  <c:v>183.0</c:v>
                </c:pt>
                <c:pt idx="10">
                  <c:v>183.0</c:v>
                </c:pt>
                <c:pt idx="11">
                  <c:v>111.0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37010432"/>
        <c:axId val="-1737008112"/>
      </c:lineChart>
      <c:catAx>
        <c:axId val="-173701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7008112"/>
        <c:crosses val="autoZero"/>
        <c:auto val="1"/>
        <c:lblAlgn val="ctr"/>
        <c:lblOffset val="100"/>
        <c:noMultiLvlLbl val="0"/>
      </c:catAx>
      <c:valAx>
        <c:axId val="-17370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370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Symantec Corporation</dc:creator>
  <cp:keywords/>
  <dc:description/>
  <cp:lastModifiedBy>Microsoft Office User</cp:lastModifiedBy>
  <cp:revision>2</cp:revision>
  <dcterms:created xsi:type="dcterms:W3CDTF">2018-06-08T22:08:00Z</dcterms:created>
  <dcterms:modified xsi:type="dcterms:W3CDTF">2018-06-16T21:04:00Z</dcterms:modified>
</cp:coreProperties>
</file>