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1B3A5C"/>
          <w:sz w:val="72"/>
          <w:szCs w:val="72"/>
        </w:rPr>
        <w:t xml:space="preserve">SIGAB</w:t>
      </w:r>
    </w:p>
    <w:p>
      <w:pPr>
        <w:spacing w:after="80"/>
        <w:jc w:val="center"/>
      </w:pPr>
      <w:r>
        <w:rPr>
          <w:rFonts w:ascii="Arial" w:cs="Arial" w:eastAsia="Arial" w:hAnsi="Arial"/>
          <w:color w:val="0D9488"/>
          <w:sz w:val="28"/>
          <w:szCs w:val="28"/>
        </w:rPr>
        <w:t xml:space="preserve">Sistema Integral de Gestión de Activos Biomédicos</w:t>
      </w:r>
    </w:p>
    <w:p>
      <w:pPr>
        <w:pBdr>
          <w:bottom w:val="single" w:color="0D9488" w:sz="6" w:space="8"/>
        </w:pBdr>
        <w:spacing w:after="200" w:before="200"/>
      </w:pPr>
    </w:p>
    <w:p>
      <w:pPr>
        <w:spacing w:after="60"/>
        <w:jc w:val="center"/>
      </w:pPr>
      <w:r>
        <w:rPr>
          <w:rFonts w:ascii="Arial" w:cs="Arial" w:eastAsia="Arial" w:hAnsi="Arial"/>
          <w:b/>
          <w:bCs/>
          <w:color w:val="1B3A5C"/>
          <w:sz w:val="32"/>
          <w:szCs w:val="32"/>
        </w:rPr>
        <w:t xml:space="preserve">DOCUMENTO INVERSIONISTA</w:t>
      </w:r>
    </w:p>
    <w:p>
      <w:pPr>
        <w:spacing w:after="40"/>
        <w:jc w:val="center"/>
      </w:pPr>
      <w:r>
        <w:rPr>
          <w:rFonts w:ascii="Arial" w:cs="Arial" w:eastAsia="Arial" w:hAnsi="Arial"/>
          <w:color w:val="6B7280"/>
          <w:sz w:val="22"/>
          <w:szCs w:val="22"/>
        </w:rPr>
        <w:t xml:space="preserve">Versión 3.0 — Estudio Técnico Integrado</w:t>
      </w:r>
    </w:p>
    <w:p>
      <w:pPr>
        <w:spacing w:before="800"/>
      </w:pPr>
    </w:p>
    <w:p>
      <w:pPr>
        <w:jc w:val="center"/>
      </w:pPr>
      <w:r>
        <w:rPr>
          <w:rFonts w:ascii="Arial" w:cs="Arial" w:eastAsia="Arial" w:hAnsi="Arial"/>
          <w:color w:val="1B3A5C"/>
          <w:sz w:val="22"/>
          <w:szCs w:val="22"/>
        </w:rPr>
        <w:t xml:space="preserve">López Carballo Gustavo · Domínguez Fernando · Soltero Salvador</w:t>
      </w:r>
    </w:p>
    <w:p>
      <w:pPr>
        <w:spacing w:after="40"/>
        <w:jc w:val="center"/>
      </w:pPr>
      <w:r>
        <w:rPr>
          <w:rFonts w:ascii="Arial" w:cs="Arial" w:eastAsia="Arial" w:hAnsi="Arial"/>
          <w:color w:val="6B7280"/>
          <w:sz w:val="20"/>
          <w:szCs w:val="20"/>
        </w:rPr>
        <w:t xml:space="preserve">Bioingeniería en Procesos de Manufactura — 10º Cuatrimestre</w:t>
      </w:r>
    </w:p>
    <w:p>
      <w:pPr>
        <w:jc w:val="center"/>
      </w:pPr>
      <w:r>
        <w:rPr>
          <w:rFonts w:ascii="Arial" w:cs="Arial" w:eastAsia="Arial" w:hAnsi="Arial"/>
          <w:color w:val="6B7280"/>
          <w:sz w:val="20"/>
          <w:szCs w:val="20"/>
        </w:rPr>
        <w:t xml:space="preserve">Universidad Xochicalco, Campus Tijuana</w:t>
      </w:r>
    </w:p>
    <w:p>
      <w:pPr>
        <w:spacing w:before="200"/>
        <w:jc w:val="center"/>
      </w:pPr>
      <w:r>
        <w:rPr>
          <w:rFonts w:ascii="Arial" w:cs="Arial" w:eastAsia="Arial" w:hAnsi="Arial"/>
          <w:b/>
          <w:bCs/>
          <w:color w:val="0D9488"/>
          <w:sz w:val="22"/>
          <w:szCs w:val="22"/>
        </w:rPr>
        <w:t xml:space="preserve">Abril 2026</w:t>
      </w:r>
    </w:p>
    <w:p>
      <w:pPr>
        <w:sectPr>
          <w:pgSz w:w="12240" w:h="15840" w:orient="portrait"/>
          <w:pgMar w:top="1440" w:right="1440" w:bottom="1440" w:left="1440" w:header="708" w:footer="708" w:gutter="0"/>
          <w:pgNumType/>
          <w:docGrid w:linePitch="360"/>
        </w:sectPr>
      </w:pPr>
    </w:p>
    <w:p>
      <w:pPr>
        <w:pStyle w:val="Heading1"/>
      </w:pPr>
      <w:r>
        <w:t xml:space="preserve">Índice</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I. Resumen Ejecutivo</w:t>
      </w:r>
    </w:p>
    <w:p>
      <w:pPr>
        <w:spacing w:after="120"/>
      </w:pPr>
      <w:r>
        <w:rPr>
          <w:rFonts w:ascii="Arial" w:cs="Arial" w:eastAsia="Arial" w:hAnsi="Arial"/>
          <w:sz w:val="22"/>
          <w:szCs w:val="22"/>
        </w:rPr>
        <w:t xml:space="preserve">SIGAB (Sistema Integral de Gestión de Activos Biomédicos) es una plataforma On-Premise con Inteligencia Artificial diseñada para digitalizar la gestión de equipos médicos en hospitales públicos del IMSS.</w:t>
      </w:r>
    </w:p>
    <w:p>
      <w:pPr>
        <w:pStyle w:val="Heading2"/>
      </w:pPr>
      <w:r>
        <w:t xml:space="preserve">El Problema</w:t>
      </w:r>
    </w:p>
    <w:p>
      <w:pPr>
        <w:spacing w:after="120"/>
      </w:pPr>
      <w:r>
        <w:rPr>
          <w:rFonts w:ascii="Arial" w:cs="Arial" w:eastAsia="Arial" w:hAnsi="Arial"/>
          <w:sz w:val="22"/>
          <w:szCs w:val="22"/>
        </w:rPr>
        <w:t xml:space="preserve">El 85% del personal técnico pierde tiempo significativo buscando equipos médicos. El 90% de los mantenimientos preventivos se retrasan. Cada Orden de Servicio en papel consume entre 45 y 90 minutos de transcripción manual.</w:t>
      </w:r>
    </w:p>
    <w:p>
      <w:pPr>
        <w:pStyle w:val="Heading2"/>
      </w:pPr>
      <w:r>
        <w:t xml:space="preserve">La Solución</w:t>
      </w:r>
    </w:p>
    <w:p>
      <w:pPr>
        <w:spacing w:after="120"/>
      </w:pPr>
      <w:r>
        <w:rPr>
          <w:rFonts w:ascii="Arial" w:cs="Arial" w:eastAsia="Arial" w:hAnsi="Arial"/>
          <w:sz w:val="22"/>
          <w:szCs w:val="22"/>
        </w:rPr>
        <w:t xml:space="preserve">SIGAB transforma el proceso manual en un flujo automatizado: WhatsApp → OCR con IA → Validación Poka-Yoke → Dashboard en tiempo real. El sistema opera 100% dentro de la intranet hospitalaria, sin conexión a internet, garantizando la privacidad de datos clínicos.</w:t>
      </w:r>
    </w:p>
    <w:p>
      <w:pPr>
        <w:pStyle w:val="Heading2"/>
      </w:pPr>
      <w:r>
        <w:t xml:space="preserve">Validación de Campo</w:t>
      </w:r>
    </w:p>
    <w:p>
      <w:pPr>
        <w:spacing w:after="120"/>
      </w:pPr>
      <w:r>
        <w:rPr>
          <w:rFonts w:ascii="Arial" w:cs="Arial" w:eastAsia="Arial" w:hAnsi="Arial"/>
          <w:i/>
          <w:iCs/>
          <w:color w:val="9CA3AF"/>
          <w:sz w:val="22"/>
          <w:szCs w:val="22"/>
        </w:rPr>
        <w:t xml:space="preserve">[Incluir datos de las encuestas validadas de campo del Estudio de Mercado (Eval I). Datos clave: 85% pierde tiempo, 90% preventivos retrasados, 15 formatos en papel identificados.]</w:t>
      </w:r>
    </w:p>
    <w:p>
      <w:r>
        <w:br w:type="page"/>
      </w:r>
    </w:p>
    <w:p>
      <w:pPr>
        <w:pStyle w:val="Heading1"/>
      </w:pPr>
      <w:r>
        <w:t xml:space="preserve">II. Estudio de Mercado</w:t>
      </w:r>
    </w:p>
    <w:p>
      <w:pPr>
        <w:pStyle w:val="Heading2"/>
      </w:pPr>
      <w:r>
        <w:t xml:space="preserve">TAM / SAM / SOM</w:t>
      </w:r>
    </w:p>
    <w:p>
      <w:pPr>
        <w:spacing w:after="120"/>
      </w:pPr>
      <w:r>
        <w:rPr>
          <w:rFonts w:ascii="Arial" w:cs="Arial" w:eastAsia="Arial" w:hAnsi="Arial"/>
          <w:i/>
          <w:iCs/>
          <w:color w:val="9CA3AF"/>
          <w:sz w:val="22"/>
          <w:szCs w:val="22"/>
        </w:rPr>
        <w:t xml:space="preserve">[Insertar análisis TAM/SAM/SOM del Estudio de Mercado (Eval I). Incluir: número de hospitales IMSS a nivel nacional, hospitales en Baja California, mercado direccionable.]</w:t>
      </w:r>
    </w:p>
    <w:p>
      <w:pPr>
        <w:pStyle w:val="Heading2"/>
      </w:pPr>
      <w:r>
        <w:t xml:space="preserve">Encuestas y Validación</w:t>
      </w:r>
    </w:p>
    <w:p>
      <w:pPr>
        <w:spacing w:after="120"/>
      </w:pPr>
      <w:r>
        <w:rPr>
          <w:rFonts w:ascii="Arial" w:cs="Arial" w:eastAsia="Arial" w:hAnsi="Arial"/>
          <w:i/>
          <w:iCs/>
          <w:color w:val="9CA3AF"/>
          <w:sz w:val="22"/>
          <w:szCs w:val="22"/>
        </w:rPr>
        <w:t xml:space="preserve">[Incluir resultados de encuestas aplicadas a personal del HGR No. 1. Gráficas de resultados. Metodología de muestreo.]</w:t>
      </w:r>
    </w:p>
    <w:p>
      <w:pPr>
        <w:pStyle w:val="Heading2"/>
      </w:pPr>
      <w:r>
        <w:t xml:space="preserve">Competencia</w:t>
      </w:r>
    </w:p>
    <w:p>
      <w:pPr>
        <w:spacing w:after="120"/>
      </w:pPr>
      <w:r>
        <w:rPr>
          <w:rFonts w:ascii="Arial" w:cs="Arial" w:eastAsia="Arial" w:hAnsi="Arial"/>
          <w:i/>
          <w:iCs/>
          <w:color w:val="9CA3AF"/>
          <w:sz w:val="22"/>
          <w:szCs w:val="22"/>
        </w:rPr>
        <w:t xml:space="preserve">[Análisis de competidores directos e indirectos. Ventaja competitiva de SIGAB: On-Premise, IA integrada, validación Poka-Yoke.]</w:t>
      </w:r>
    </w:p>
    <w:p>
      <w:pPr>
        <w:pStyle w:val="Heading2"/>
      </w:pPr>
      <w:r>
        <w:t xml:space="preserve">Estrategia B2G</w:t>
      </w:r>
    </w:p>
    <w:p>
      <w:pPr>
        <w:spacing w:after="120"/>
      </w:pPr>
      <w:r>
        <w:rPr>
          <w:rFonts w:ascii="Arial" w:cs="Arial" w:eastAsia="Arial" w:hAnsi="Arial"/>
          <w:i/>
          <w:iCs/>
          <w:color w:val="9CA3AF"/>
          <w:sz w:val="22"/>
          <w:szCs w:val="22"/>
        </w:rPr>
        <w:t xml:space="preserve">[Describir la estrategia de venta al gobierno (IMSS) vía LAASSP, adjudicación directa y licitación pública.]</w:t>
      </w:r>
    </w:p>
    <w:p>
      <w:pPr>
        <w:pStyle w:val="Heading2"/>
      </w:pPr>
      <w:r>
        <w:t xml:space="preserve">PoC IMSS — HGR No. 1</w:t>
      </w:r>
    </w:p>
    <w:p>
      <w:pPr>
        <w:spacing w:after="120"/>
      </w:pPr>
      <w:r>
        <w:rPr>
          <w:rFonts w:ascii="Arial" w:cs="Arial" w:eastAsia="Arial" w:hAnsi="Arial"/>
          <w:i/>
          <w:iCs/>
          <w:color w:val="9CA3AF"/>
          <w:sz w:val="22"/>
          <w:szCs w:val="22"/>
        </w:rPr>
        <w:t xml:space="preserve">[Documentar la Prueba de Concepto validada en el Hospital General Regional No. 1 del IMSS Tijuana.]</w:t>
      </w:r>
    </w:p>
    <w:p>
      <w:r>
        <w:br w:type="page"/>
      </w:r>
    </w:p>
    <w:p>
      <w:pPr>
        <w:pStyle w:val="Heading1"/>
      </w:pPr>
      <w:r>
        <w:t xml:space="preserve">III. Estudio Técnico</w:t>
      </w:r>
    </w:p>
    <w:p>
      <w:pPr>
        <w:spacing w:after="120"/>
      </w:pPr>
      <w:r>
        <w:rPr>
          <w:rFonts w:ascii="Arial" w:cs="Arial" w:eastAsia="Arial" w:hAnsi="Arial"/>
          <w:sz w:val="22"/>
          <w:szCs w:val="22"/>
        </w:rPr>
        <w:t xml:space="preserve">Este capítulo corresponde a la Evaluación III del proyecto SIGAB y detalla la viabilidad técnica del sistema: cómo se produce, instala y opera la plataforma digital.</w:t>
      </w:r>
    </w:p>
    <w:p>
      <w:pPr>
        <w:pStyle w:val="Heading2"/>
      </w:pPr>
      <w:r>
        <w:t xml:space="preserve">3.1 Diagrama de Proceso</w:t>
      </w:r>
    </w:p>
    <w:p>
      <w:pPr>
        <w:spacing w:after="120"/>
      </w:pPr>
      <w:r>
        <w:rPr>
          <w:rFonts w:ascii="Arial" w:cs="Arial" w:eastAsia="Arial" w:hAnsi="Arial"/>
          <w:sz w:val="22"/>
          <w:szCs w:val="22"/>
        </w:rPr>
        <w:t xml:space="preserve">El proceso productivo de SIGAB es integración tecnológica, no manufactura tradicional. El flujo operativo se automatiza en cuatro etapas que transforman un formato de papel hospitalario en un registro digital trazable en tiempo real.</w:t>
      </w:r>
    </w:p>
    <w:p>
      <w:pPr>
        <w:pStyle w:val="Heading3"/>
      </w:pPr>
      <w:r>
        <w:t xml:space="preserve">Flujo Operativo Automatizado (4 Etapas)</w:t>
      </w:r>
    </w:p>
    <w:p>
      <w:pPr>
        <w:spacing w:after="120"/>
      </w:pPr>
      <w:r>
        <w:rPr>
          <w:rFonts w:ascii="Arial" w:cs="Arial" w:eastAsia="Arial" w:hAnsi="Arial"/>
          <w:i/>
          <w:iCs/>
          <w:color w:val="9CA3AF"/>
          <w:sz w:val="22"/>
          <w:szCs w:val="22"/>
        </w:rPr>
        <w:t xml:space="preserve">[INSERTAR DIAGRAMA DE FLUJO DE 4 ETAPAS AQUÍ (archivo: SIGAB_Diagramas_Flujo.html, Diagrama A)]</w:t>
      </w:r>
    </w:p>
    <w:p>
      <w:pPr>
        <w:spacing w:after="120"/>
      </w:pPr>
      <w:r>
        <w:rPr>
          <w:rFonts w:ascii="Arial" w:cs="Arial" w:eastAsia="Arial" w:hAnsi="Arial"/>
          <w:sz w:val="22"/>
          <w:szCs w:val="22"/>
        </w:rPr>
        <w:t xml:space="preserve">Etapa 1 — Reporte (Input): El técnico biomédico toma una foto de la Orden de Servicio o envía un audio por WhatsApp al agente SIGAB.</w:t>
      </w:r>
    </w:p>
    <w:p>
      <w:pPr>
        <w:spacing w:after="120"/>
      </w:pPr>
      <w:r>
        <w:rPr>
          <w:rFonts w:ascii="Arial" w:cs="Arial" w:eastAsia="Arial" w:hAnsi="Arial"/>
          <w:sz w:val="22"/>
          <w:szCs w:val="22"/>
        </w:rPr>
        <w:t xml:space="preserve">Etapa 2 — Ingesta y Procesamiento: El Agente OpenClaw utiliza Google Gemini 2.5 Flash para OCR. Extrae: número de serie, falla reportada, técnico asignado, refacciones y área.</w:t>
      </w:r>
    </w:p>
    <w:p>
      <w:pPr>
        <w:spacing w:after="120"/>
      </w:pPr>
      <w:r>
        <w:rPr>
          <w:rFonts w:ascii="Arial" w:cs="Arial" w:eastAsia="Arial" w:hAnsi="Arial"/>
          <w:sz w:val="22"/>
          <w:szCs w:val="22"/>
        </w:rPr>
        <w:t xml:space="preserve">Etapa 3 — Validación y Almacenamiento: Triple validación Poka-Yoke (QR + Nº Inventario + Nº Serie). Genera folio inmutable ISO 8601 e inserta en MySQL local.</w:t>
      </w:r>
    </w:p>
    <w:p>
      <w:pPr>
        <w:spacing w:after="120"/>
      </w:pPr>
      <w:r>
        <w:rPr>
          <w:rFonts w:ascii="Arial" w:cs="Arial" w:eastAsia="Arial" w:hAnsi="Arial"/>
          <w:sz w:val="22"/>
          <w:szCs w:val="22"/>
        </w:rPr>
        <w:t xml:space="preserve">Etapa 4 — Visualización: Dashboard React en tiempo real vía SSE. Semáforo: verde (operativo), amarillo (mantenimiento), rojo (fuera de servicio).</w:t>
      </w:r>
    </w:p>
    <w:p>
      <w:pPr>
        <w:pStyle w:val="Heading3"/>
      </w:pPr>
      <w:r>
        <w:t xml:space="preserve">Proceso de Implementación por Hospital (5 Pasos)</w:t>
      </w:r>
    </w:p>
    <w:p>
      <w:pPr>
        <w:spacing w:after="120"/>
      </w:pPr>
      <w:r>
        <w:rPr>
          <w:rFonts w:ascii="Arial" w:cs="Arial" w:eastAsia="Arial" w:hAnsi="Arial"/>
          <w:i/>
          <w:iCs/>
          <w:color w:val="9CA3AF"/>
          <w:sz w:val="22"/>
          <w:szCs w:val="22"/>
        </w:rPr>
        <w:t xml:space="preserve">[INSERTAR DIAGRAMA DE IMPLEMENTACIÓN DE 5 PASOS AQUÍ (archivo: SIGAB_Diagramas_Flujo.html, Diagrama B)]</w:t>
      </w:r>
    </w:p>
    <w:p>
      <w:pPr>
        <w:spacing w:after="120"/>
      </w:pPr>
      <w:r>
        <w:rPr>
          <w:rFonts w:ascii="Arial" w:cs="Arial" w:eastAsia="Arial" w:hAnsi="Arial"/>
          <w:sz w:val="22"/>
          <w:szCs w:val="22"/>
        </w:rPr>
        <w:t xml:space="preserve">Tiempo total de despliegue por hospital: menos de 72 horas incluyendo capacitación.</w:t>
      </w:r>
    </w:p>
    <w:p>
      <w:r>
        <w:br w:type="page"/>
      </w:r>
    </w:p>
    <w:p>
      <w:pPr>
        <w:pStyle w:val="Heading2"/>
      </w:pPr>
      <w:r>
        <w:t xml:space="preserve">3.2 Maquinaria y Equipo (Hardware On-Premise)</w:t>
      </w:r>
    </w:p>
    <w:p>
      <w:pPr>
        <w:spacing w:after="120"/>
      </w:pPr>
      <w:r>
        <w:rPr>
          <w:rFonts w:ascii="Arial" w:cs="Arial" w:eastAsia="Arial" w:hAnsi="Arial"/>
          <w:sz w:val="22"/>
          <w:szCs w:val="22"/>
        </w:rPr>
        <w:t xml:space="preserve">La infraestructura IT opera dentro de la intranet hospitalaria sin conexión a internet, cumpliendo con la política de seguridad informática del IMSS.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5E7EB" w:sz="1"/>
              <w:left w:val="single" w:color="E5E7EB" w:sz="1"/>
              <w:bottom w:val="single" w:color="E5E7EB" w:sz="1"/>
              <w:right w:val="single" w:color="E5E7E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2340"/>
            <w:tcBorders>
              <w:top w:val="single" w:color="E5E7EB" w:sz="1"/>
              <w:left w:val="single" w:color="E5E7EB" w:sz="1"/>
              <w:bottom w:val="single" w:color="E5E7EB" w:sz="1"/>
              <w:right w:val="single" w:color="E5E7E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2340"/>
            <w:tcBorders>
              <w:top w:val="single" w:color="E5E7EB" w:sz="1"/>
              <w:left w:val="single" w:color="E5E7EB" w:sz="1"/>
              <w:bottom w:val="single" w:color="E5E7EB" w:sz="1"/>
              <w:right w:val="single" w:color="E5E7E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Justificación</w:t>
            </w:r>
          </w:p>
        </w:tc>
        <w:tc>
          <w:tcPr>
            <w:tcW w:type="dxa" w:w="2340"/>
            <w:tcBorders>
              <w:top w:val="single" w:color="E5E7EB" w:sz="1"/>
              <w:left w:val="single" w:color="E5E7EB" w:sz="1"/>
              <w:bottom w:val="single" w:color="E5E7EB" w:sz="1"/>
              <w:right w:val="single" w:color="E5E7E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Costo (MXN)</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Servidor Local</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Lenovo ThinkCentre M720q Tiny (i5, 16GB, SSD 512GB)</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Ejecución 24/7, bajo consumo (65W)</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$15,000</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sz w:val="20"/>
                <w:szCs w:val="20"/>
              </w:rPr>
              <w:t xml:space="preserve">Pantalla LED</w:t>
            </w:r>
          </w:p>
        </w:tc>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sz w:val="20"/>
                <w:szCs w:val="20"/>
              </w:rPr>
              <w:t xml:space="preserve">Monitor 24" Full HD</w:t>
            </w:r>
          </w:p>
        </w:tc>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sz w:val="20"/>
                <w:szCs w:val="20"/>
              </w:rPr>
              <w:t xml:space="preserve">Dashboard permanente en Dpto. Conservación</w:t>
            </w:r>
          </w:p>
        </w:tc>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sz w:val="20"/>
                <w:szCs w:val="20"/>
              </w:rPr>
              <w:t xml:space="preserve">$4,500</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Impresora Térmica</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Zebra ZD411 (203 dpi, USB/Ethernet)</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Etiquetas QR Level H, cero tinta</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$8,500</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sz w:val="20"/>
                <w:szCs w:val="20"/>
              </w:rPr>
              <w:t xml:space="preserve">Escáner QR 2D</w:t>
            </w:r>
          </w:p>
        </w:tc>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sz w:val="20"/>
                <w:szCs w:val="20"/>
              </w:rPr>
              <w:t xml:space="preserve">USB Plug-and-Play</w:t>
            </w:r>
          </w:p>
        </w:tc>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sz w:val="20"/>
                <w:szCs w:val="20"/>
              </w:rPr>
              <w:t xml:space="preserve">Lectura rápida para validación Poka-Yoke</w:t>
            </w:r>
          </w:p>
        </w:tc>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sz w:val="20"/>
                <w:szCs w:val="20"/>
              </w:rPr>
              <w:t xml:space="preserve">$2,500</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Tags RFID</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Tags autoclave-resistentes (134°C)</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Trazabilidad en equipos esterilizados</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$5,000</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sz w:val="20"/>
                <w:szCs w:val="20"/>
              </w:rPr>
              <w:t xml:space="preserve">UPS / No-Break</w:t>
            </w:r>
          </w:p>
        </w:tc>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sz w:val="20"/>
                <w:szCs w:val="20"/>
              </w:rPr>
              <w:t xml:space="preserve">Respaldo 1.5 kVA</w:t>
            </w:r>
          </w:p>
        </w:tc>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sz w:val="20"/>
                <w:szCs w:val="20"/>
              </w:rPr>
              <w:t xml:space="preserve">Protección contra cortes eléctricos</w:t>
            </w:r>
          </w:p>
        </w:tc>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sz w:val="20"/>
                <w:szCs w:val="20"/>
              </w:rPr>
              <w:t xml:space="preserve">$4,500</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Red LAN</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Switch Gigabit + Cat 6</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Alta velocidad en intranet</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$8,000</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sz w:val="20"/>
                <w:szCs w:val="20"/>
              </w:rPr>
              <w:t xml:space="preserve">Manufactura 3D</w:t>
            </w:r>
          </w:p>
        </w:tc>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sz w:val="20"/>
                <w:szCs w:val="20"/>
              </w:rPr>
              <w:t xml:space="preserve">Impresora FDM</w:t>
            </w:r>
          </w:p>
        </w:tc>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sz w:val="20"/>
                <w:szCs w:val="20"/>
              </w:rPr>
              <w:t xml:space="preserve">Refacciones OEM descontinuadas (~20% ahorro)</w:t>
            </w:r>
          </w:p>
        </w:tc>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sz w:val="20"/>
                <w:szCs w:val="20"/>
              </w:rPr>
              <w:t xml:space="preserve">$10,000</w:t>
            </w:r>
          </w:p>
        </w:tc>
      </w:tr>
    </w:tbl>
    <w:p>
      <w:pPr>
        <w:spacing w:before="160"/>
      </w:pPr>
      <w:r>
        <w:rPr>
          <w:rFonts w:ascii="Arial" w:cs="Arial" w:eastAsia="Arial" w:hAnsi="Arial"/>
          <w:b/>
          <w:bCs/>
          <w:color w:val="0D9488"/>
          <w:sz w:val="24"/>
          <w:szCs w:val="24"/>
        </w:rPr>
        <w:t xml:space="preserve">Total Inversión Fija (Tangibles): $58,000 MXN</w:t>
      </w:r>
    </w:p>
    <w:p>
      <w:pPr>
        <w:spacing w:after="120"/>
      </w:pPr>
      <w:r>
        <w:rPr>
          <w:rFonts w:ascii="Arial" w:cs="Arial" w:eastAsia="Arial" w:hAnsi="Arial"/>
          <w:i/>
          <w:iCs/>
          <w:color w:val="9CA3AF"/>
          <w:sz w:val="22"/>
          <w:szCs w:val="22"/>
        </w:rPr>
        <w:t xml:space="preserve">[INSERTAR FOTOS DEL HARDWARE REAL EN HGR No. 1 (ThinkCentre, pantalla LED, escáner QR)]</w:t>
      </w:r>
    </w:p>
    <w:p>
      <w:r>
        <w:br w:type="page"/>
      </w:r>
    </w:p>
    <w:p>
      <w:pPr>
        <w:pStyle w:val="Heading2"/>
      </w:pPr>
      <w:r>
        <w:t xml:space="preserve">3.3 Mano de Obra / Sueldos</w:t>
      </w:r>
    </w:p>
    <w:p>
      <w:pPr>
        <w:pStyle w:val="Heading3"/>
      </w:pPr>
      <w:r>
        <w:t xml:space="preserve">Equipo Actual (Fase Piloto)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5E7EB" w:sz="1"/>
              <w:left w:val="single" w:color="E5E7EB" w:sz="1"/>
              <w:bottom w:val="single" w:color="E5E7EB" w:sz="1"/>
              <w:right w:val="single" w:color="E5E7E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Puesto</w:t>
            </w:r>
          </w:p>
        </w:tc>
        <w:tc>
          <w:tcPr>
            <w:tcW w:type="dxa" w:w="2340"/>
            <w:tcBorders>
              <w:top w:val="single" w:color="E5E7EB" w:sz="1"/>
              <w:left w:val="single" w:color="E5E7EB" w:sz="1"/>
              <w:bottom w:val="single" w:color="E5E7EB" w:sz="1"/>
              <w:right w:val="single" w:color="E5E7E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Integrante</w:t>
            </w:r>
          </w:p>
        </w:tc>
        <w:tc>
          <w:tcPr>
            <w:tcW w:type="dxa" w:w="2340"/>
            <w:tcBorders>
              <w:top w:val="single" w:color="E5E7EB" w:sz="1"/>
              <w:left w:val="single" w:color="E5E7EB" w:sz="1"/>
              <w:bottom w:val="single" w:color="E5E7EB" w:sz="1"/>
              <w:right w:val="single" w:color="E5E7E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Funciones</w:t>
            </w:r>
          </w:p>
        </w:tc>
        <w:tc>
          <w:tcPr>
            <w:tcW w:type="dxa" w:w="2340"/>
            <w:tcBorders>
              <w:top w:val="single" w:color="E5E7EB" w:sz="1"/>
              <w:left w:val="single" w:color="E5E7EB" w:sz="1"/>
              <w:bottom w:val="single" w:color="E5E7EB" w:sz="1"/>
              <w:right w:val="single" w:color="E5E7E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Salario (MXN)</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Director / Full-Stack</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López Carballo Gustavo</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Arquitectura, React/FastAPI, gestión IMSS</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$8,800</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sz w:val="20"/>
                <w:szCs w:val="20"/>
              </w:rPr>
              <w:t xml:space="preserve">Técnico QA</w:t>
            </w:r>
          </w:p>
        </w:tc>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sz w:val="20"/>
                <w:szCs w:val="20"/>
              </w:rPr>
              <w:t xml:space="preserve">Domínguez Fernando</w:t>
            </w:r>
          </w:p>
        </w:tc>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sz w:val="20"/>
                <w:szCs w:val="20"/>
              </w:rPr>
              <w:t xml:space="preserve">Servidores, QA, instalación en sitio</w:t>
            </w:r>
          </w:p>
        </w:tc>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sz w:val="20"/>
                <w:szCs w:val="20"/>
              </w:rPr>
              <w:t xml:space="preserve">$8,800</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Operaciones</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Soltero Salvador</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Logística, entrenamiento, soporte</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$8,800</w:t>
            </w:r>
          </w:p>
        </w:tc>
      </w:tr>
    </w:tbl>
    <w:p>
      <w:pPr>
        <w:spacing w:before="120"/>
      </w:pPr>
      <w:r>
        <w:rPr>
          <w:rFonts w:ascii="Arial" w:cs="Arial" w:eastAsia="Arial" w:hAnsi="Arial"/>
          <w:b/>
          <w:bCs/>
          <w:color w:val="0D9488"/>
          <w:sz w:val="22"/>
          <w:szCs w:val="22"/>
        </w:rPr>
        <w:t xml:space="preserve">Total Mano de Obra Mensual: $26,400 MXN</w:t>
      </w:r>
    </w:p>
    <w:p>
      <w:pPr>
        <w:pStyle w:val="Heading3"/>
      </w:pPr>
      <w:r>
        <w:t xml:space="preserve">Estructura Proyectada (Fase Comercial)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5E7EB" w:sz="1"/>
              <w:left w:val="single" w:color="E5E7EB" w:sz="1"/>
              <w:bottom w:val="single" w:color="E5E7EB" w:sz="1"/>
              <w:right w:val="single" w:color="E5E7E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Puesto</w:t>
            </w:r>
          </w:p>
        </w:tc>
        <w:tc>
          <w:tcPr>
            <w:tcW w:type="dxa" w:w="2340"/>
            <w:tcBorders>
              <w:top w:val="single" w:color="E5E7EB" w:sz="1"/>
              <w:left w:val="single" w:color="E5E7EB" w:sz="1"/>
              <w:bottom w:val="single" w:color="E5E7EB" w:sz="1"/>
              <w:right w:val="single" w:color="E5E7E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Cantidad</w:t>
            </w:r>
          </w:p>
        </w:tc>
        <w:tc>
          <w:tcPr>
            <w:tcW w:type="dxa" w:w="2340"/>
            <w:tcBorders>
              <w:top w:val="single" w:color="E5E7EB" w:sz="1"/>
              <w:left w:val="single" w:color="E5E7EB" w:sz="1"/>
              <w:bottom w:val="single" w:color="E5E7EB" w:sz="1"/>
              <w:right w:val="single" w:color="E5E7E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Salario Mensual</w:t>
            </w:r>
          </w:p>
        </w:tc>
        <w:tc>
          <w:tcPr>
            <w:tcW w:type="dxa" w:w="2340"/>
            <w:tcBorders>
              <w:top w:val="single" w:color="E5E7EB" w:sz="1"/>
              <w:left w:val="single" w:color="E5E7EB" w:sz="1"/>
              <w:bottom w:val="single" w:color="E5E7EB" w:sz="1"/>
              <w:right w:val="single" w:color="E5E7E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Total</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Ingeniero Full-Stack</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$18,000</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$18,000</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sz w:val="20"/>
                <w:szCs w:val="20"/>
              </w:rPr>
              <w:t xml:space="preserve">Técnico de Integración</w:t>
            </w:r>
          </w:p>
        </w:tc>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sz w:val="20"/>
                <w:szCs w:val="20"/>
              </w:rPr>
              <w:t xml:space="preserve">$15,000</w:t>
            </w:r>
          </w:p>
        </w:tc>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sz w:val="20"/>
                <w:szCs w:val="20"/>
              </w:rPr>
              <w:t xml:space="preserve">$15,000</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Técnicos Instaladores</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$13,220 c/u</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$26,440</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sz w:val="20"/>
                <w:szCs w:val="20"/>
              </w:rPr>
              <w:t xml:space="preserve">Coordinador Bioingeniero</w:t>
            </w:r>
          </w:p>
        </w:tc>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sz w:val="20"/>
                <w:szCs w:val="20"/>
              </w:rPr>
              <w:t xml:space="preserve">$15,000</w:t>
            </w:r>
          </w:p>
        </w:tc>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sz w:val="20"/>
                <w:szCs w:val="20"/>
              </w:rPr>
              <w:t xml:space="preserve">$15,000</w:t>
            </w:r>
          </w:p>
        </w:tc>
      </w:tr>
    </w:tbl>
    <w:p>
      <w:pPr>
        <w:spacing w:before="120"/>
      </w:pPr>
      <w:r>
        <w:rPr>
          <w:rFonts w:ascii="Arial" w:cs="Arial" w:eastAsia="Arial" w:hAnsi="Arial"/>
          <w:b/>
          <w:bCs/>
          <w:color w:val="0D9488"/>
          <w:sz w:val="22"/>
          <w:szCs w:val="22"/>
        </w:rPr>
        <w:t xml:space="preserve">Total Proyectado: $74,440 MXN/mes</w:t>
      </w:r>
    </w:p>
    <w:p>
      <w:pPr>
        <w:spacing w:after="120"/>
      </w:pPr>
      <w:r>
        <w:rPr>
          <w:rFonts w:ascii="Arial" w:cs="Arial" w:eastAsia="Arial" w:hAnsi="Arial"/>
          <w:sz w:val="22"/>
          <w:szCs w:val="22"/>
        </w:rPr>
        <w:t xml:space="preserve">Nota: El salario del Técnico Instalador ($13,220) se calcula conforme al salario mínimo de la ZLFN ($440.87 × 30 días).</w:t>
      </w:r>
    </w:p>
    <w:p>
      <w:r>
        <w:br w:type="page"/>
      </w:r>
    </w:p>
    <w:p>
      <w:pPr>
        <w:pStyle w:val="Heading2"/>
      </w:pPr>
      <w:r>
        <w:t xml:space="preserve">3.4 Distribución de Planta / Local</w:t>
      </w:r>
    </w:p>
    <w:p>
      <w:pPr>
        <w:pStyle w:val="Heading3"/>
      </w:pPr>
      <w:r>
        <w:t xml:space="preserve">Taller de Integración (Tijuana)</w:t>
      </w:r>
    </w:p>
    <w:p>
      <w:pPr>
        <w:spacing w:after="120"/>
      </w:pPr>
      <w:r>
        <w:rPr>
          <w:rFonts w:ascii="Arial" w:cs="Arial" w:eastAsia="Arial" w:hAnsi="Arial"/>
          <w:sz w:val="22"/>
          <w:szCs w:val="22"/>
        </w:rPr>
        <w:t xml:space="preserve">El taller opera en cuatro áreas funcionales: (1) Recepción y Almacén, (2) Configuración (Workbench), (3) QA / Control de Calidad, y (4) Oficinas Administrativas.</w:t>
      </w:r>
    </w:p>
    <w:p>
      <w:pPr>
        <w:spacing w:after="120"/>
      </w:pPr>
      <w:r>
        <w:rPr>
          <w:rFonts w:ascii="Arial" w:cs="Arial" w:eastAsia="Arial" w:hAnsi="Arial"/>
          <w:i/>
          <w:iCs/>
          <w:color w:val="9CA3AF"/>
          <w:sz w:val="22"/>
          <w:szCs w:val="22"/>
        </w:rPr>
        <w:t xml:space="preserve">[INSERTAR PLANO O LAYOUT VISUAL DEL TALLER DE INTEGRACIÓN CON LAS 4 ÁREAS]</w:t>
      </w:r>
    </w:p>
    <w:p>
      <w:pPr>
        <w:pStyle w:val="Heading3"/>
      </w:pPr>
      <w:r>
        <w:t xml:space="preserve">Sitio de Instalación (Hospital)</w:t>
      </w:r>
    </w:p>
    <w:p>
      <w:pPr>
        <w:spacing w:after="120"/>
      </w:pPr>
      <w:r>
        <w:rPr>
          <w:rFonts w:ascii="Arial" w:cs="Arial" w:eastAsia="Arial" w:hAnsi="Arial"/>
          <w:sz w:val="22"/>
          <w:szCs w:val="22"/>
        </w:rPr>
        <w:t xml:space="preserve">El servidor se instala enracado en el Departamento de Conservación e Ingeniería Biomédica. Todos los componentes operan en intranet hospitalaria sin salida a internet.</w:t>
      </w:r>
    </w:p>
    <w:p>
      <w:pPr>
        <w:spacing w:after="120"/>
      </w:pPr>
      <w:r>
        <w:rPr>
          <w:rFonts w:ascii="Arial" w:cs="Arial" w:eastAsia="Arial" w:hAnsi="Arial"/>
          <w:i/>
          <w:iCs/>
          <w:color w:val="9CA3AF"/>
          <w:sz w:val="22"/>
          <w:szCs w:val="22"/>
        </w:rPr>
        <w:t xml:space="preserve">[INSERTAR FOTO DEL ESPACIO REAL EN EL DPTO. DE CONSERVACIÓN DEL HGR No. 1]</w:t>
      </w:r>
    </w:p>
    <w:p>
      <w:pPr>
        <w:pStyle w:val="Heading3"/>
      </w:pPr>
      <w:r>
        <w:t xml:space="preserve">Macrolocalización</w:t>
      </w:r>
    </w:p>
    <w:p>
      <w:pPr>
        <w:spacing w:after="120"/>
      </w:pPr>
      <w:r>
        <w:rPr>
          <w:rFonts w:ascii="Arial" w:cs="Arial" w:eastAsia="Arial" w:hAnsi="Arial"/>
          <w:sz w:val="22"/>
          <w:szCs w:val="22"/>
        </w:rPr>
        <w:t xml:space="preserve">Tijuana, Baja California — estrategia por ecosistema médico-industrial y cercanía a proveedores de hardware de importación.</w:t>
      </w:r>
    </w:p>
    <w:p>
      <w:r>
        <w:br w:type="page"/>
      </w:r>
    </w:p>
    <w:p>
      <w:pPr>
        <w:pStyle w:val="Heading2"/>
      </w:pPr>
      <w:r>
        <w:t xml:space="preserve">3.5 Organigrama</w:t>
      </w:r>
    </w:p>
    <w:p>
      <w:pPr>
        <w:pStyle w:val="Heading3"/>
      </w:pPr>
      <w:r>
        <w:t xml:space="preserve">Organigrama Actual (Fase Piloto)</w:t>
      </w:r>
    </w:p>
    <w:p>
      <w:pPr>
        <w:spacing w:after="120"/>
      </w:pPr>
      <w:r>
        <w:rPr>
          <w:rFonts w:ascii="Arial" w:cs="Arial" w:eastAsia="Arial" w:hAnsi="Arial"/>
          <w:i/>
          <w:iCs/>
          <w:color w:val="9CA3AF"/>
          <w:sz w:val="22"/>
          <w:szCs w:val="22"/>
        </w:rPr>
        <w:t xml:space="preserve">[INSERTAR ORGANIGRAMA ACTUAL (archivo: SIGAB_Organigramas.html, sección ACTUAL)]</w:t>
      </w:r>
    </w:p>
    <w:p>
      <w:pPr>
        <w:pStyle w:val="Heading3"/>
      </w:pPr>
      <w:r>
        <w:t xml:space="preserve">Organigrama Proyectado (Fase Comercial)</w:t>
      </w:r>
    </w:p>
    <w:p>
      <w:pPr>
        <w:spacing w:after="120"/>
      </w:pPr>
      <w:r>
        <w:rPr>
          <w:rFonts w:ascii="Arial" w:cs="Arial" w:eastAsia="Arial" w:hAnsi="Arial"/>
          <w:i/>
          <w:iCs/>
          <w:color w:val="9CA3AF"/>
          <w:sz w:val="22"/>
          <w:szCs w:val="22"/>
        </w:rPr>
        <w:t xml:space="preserve">[INSERTAR ORGANIGRAMA PROYECTADO (archivo: SIGAB_Organigramas.html, sección PROYECTADO)]</w:t>
      </w:r>
    </w:p>
    <w:p>
      <w:r>
        <w:br w:type="page"/>
      </w:r>
    </w:p>
    <w:p>
      <w:pPr>
        <w:pStyle w:val="Heading2"/>
      </w:pPr>
      <w:r>
        <w:t xml:space="preserve">3.6 Aspectos Legales</w:t>
      </w:r>
    </w:p>
    <w:p>
      <w:pPr>
        <w:pStyle w:val="Heading3"/>
      </w:pPr>
      <w:r>
        <w:t xml:space="preserve">Propiedad Intelectual</w:t>
      </w:r>
    </w:p>
    <w:p>
      <w:pPr>
        <w:spacing w:after="120"/>
      </w:pPr>
      <w:r>
        <w:rPr>
          <w:rFonts w:ascii="Arial" w:cs="Arial" w:eastAsia="Arial" w:hAnsi="Arial"/>
          <w:sz w:val="22"/>
          <w:szCs w:val="22"/>
        </w:rPr>
        <w:t xml:space="preserve">Registro del código fuente ante INDAUTOR y registro de marca ante IMPI. Resolver propiedad intelectual con Universidad Xochicalco previo a comercialización.</w:t>
      </w:r>
    </w:p>
    <w:p>
      <w:pPr>
        <w:pStyle w:val="Heading3"/>
      </w:pPr>
      <w:r>
        <w:t xml:space="preserve">Privacidad de Datos</w:t>
      </w:r>
    </w:p>
    <w:p>
      <w:pPr>
        <w:spacing w:after="120"/>
      </w:pPr>
      <w:r>
        <w:rPr>
          <w:rFonts w:ascii="Arial" w:cs="Arial" w:eastAsia="Arial" w:hAnsi="Arial"/>
          <w:sz w:val="22"/>
          <w:szCs w:val="22"/>
        </w:rPr>
        <w:t xml:space="preserve">Cumplimiento de LFPDPPP y NOM-024-SSA3-2012. Arquitectura On-Premise garantiza que los datos nunca salen del hospital.</w:t>
      </w:r>
    </w:p>
    <w:p>
      <w:pPr>
        <w:pStyle w:val="Heading3"/>
      </w:pPr>
      <w:r>
        <w:t xml:space="preserve">Marco Regulatorio Aplicable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Norma / Marco Legal</w:t>
            </w:r>
          </w:p>
        </w:tc>
        <w:tc>
          <w:tcPr>
            <w:tcW w:type="dxa" w:w="4680"/>
            <w:tcBorders>
              <w:top w:val="single" w:color="E5E7EB" w:sz="1"/>
              <w:left w:val="single" w:color="E5E7EB" w:sz="1"/>
              <w:bottom w:val="single" w:color="E5E7EB" w:sz="1"/>
              <w:right w:val="single" w:color="E5E7E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Relevancia para SIGAB</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NOM-016-SSA3-2012</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Registro y trazabilidad de equipos en clínicas</w:t>
            </w:r>
          </w:p>
        </w:tc>
      </w:tr>
      <w:tr>
        <w:tc>
          <w:tcPr>
            <w:tcW w:type="dxa" w:w="46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sz w:val="20"/>
                <w:szCs w:val="20"/>
              </w:rPr>
              <w:t xml:space="preserve">NOM-240-SSA1-2012</w:t>
            </w:r>
          </w:p>
        </w:tc>
        <w:tc>
          <w:tcPr>
            <w:tcW w:type="dxa" w:w="46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sz w:val="20"/>
                <w:szCs w:val="20"/>
              </w:rPr>
              <w:t xml:space="preserve">Tecnovigilancia: historial forense de incidentes</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ISO 13485</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Gestión de calidad: protocolo IQ/OQ/PQ</w:t>
            </w:r>
          </w:p>
        </w:tc>
      </w:tr>
      <w:tr>
        <w:tc>
          <w:tcPr>
            <w:tcW w:type="dxa" w:w="46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sz w:val="20"/>
                <w:szCs w:val="20"/>
              </w:rPr>
              <w:t xml:space="preserve">COFEPRIS (no-SaMD)</w:t>
            </w:r>
          </w:p>
        </w:tc>
        <w:tc>
          <w:tcPr>
            <w:tcW w:type="dxa" w:w="46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sz w:val="20"/>
                <w:szCs w:val="20"/>
              </w:rPr>
              <w:t xml:space="preserve">Sin registro sanitario federal requerido</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LAASSP</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Marco de adjudicación directa y licitación IMSS</w:t>
            </w:r>
          </w:p>
        </w:tc>
      </w:tr>
      <w:tr>
        <w:tc>
          <w:tcPr>
            <w:tcW w:type="dxa" w:w="46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sz w:val="20"/>
                <w:szCs w:val="20"/>
              </w:rPr>
              <w:t xml:space="preserve">Plan México 2025</w:t>
            </w:r>
          </w:p>
        </w:tc>
        <w:tc>
          <w:tcPr>
            <w:tcW w:type="dxa" w:w="46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sz w:val="20"/>
                <w:szCs w:val="20"/>
              </w:rPr>
              <w:t xml:space="preserve">Deducción fiscal del 89%</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LFPDPPP</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sz w:val="20"/>
                <w:szCs w:val="20"/>
              </w:rPr>
              <w:t xml:space="preserve">Protección de datos: cumplido por diseño On-Premise</w:t>
            </w:r>
          </w:p>
        </w:tc>
      </w:tr>
    </w:tbl>
    <w:p>
      <w:pPr>
        <w:pStyle w:val="Heading3"/>
      </w:pPr>
      <w:r>
        <w:t xml:space="preserve">Estructura Societaria</w:t>
      </w:r>
    </w:p>
    <w:p>
      <w:pPr>
        <w:spacing w:after="120"/>
      </w:pPr>
      <w:r>
        <w:rPr>
          <w:rFonts w:ascii="Arial" w:cs="Arial" w:eastAsia="Arial" w:hAnsi="Arial"/>
          <w:sz w:val="22"/>
          <w:szCs w:val="22"/>
        </w:rPr>
        <w:t xml:space="preserve">S.A. de C.V. con transformación posterior a S.A.P.I. Incentivos: Plan México (89% deducción), EFIDT (30% I+D), CONAHCYT PEI Modalidad 2.</w:t>
      </w:r>
    </w:p>
    <w:p>
      <w:r>
        <w:br w:type="page"/>
      </w:r>
    </w:p>
    <w:p>
      <w:pPr>
        <w:pStyle w:val="Heading1"/>
      </w:pPr>
      <w:r>
        <w:t xml:space="preserve">IV. Estudio Económico</w:t>
      </w:r>
    </w:p>
    <w:p>
      <w:pPr>
        <w:pStyle w:val="Heading2"/>
      </w:pPr>
      <w:r>
        <w:t xml:space="preserve">Inversión Inicial (CapEx)</w:t>
      </w:r>
    </w:p>
    <w:p>
      <w:pPr>
        <w:spacing w:after="120"/>
      </w:pPr>
      <w:r>
        <w:rPr>
          <w:rFonts w:ascii="Arial" w:cs="Arial" w:eastAsia="Arial" w:hAnsi="Arial"/>
          <w:i/>
          <w:iCs/>
          <w:color w:val="9CA3AF"/>
          <w:sz w:val="22"/>
          <w:szCs w:val="22"/>
        </w:rPr>
        <w:t xml:space="preserve">[Detallar CapEx total: $153,000 MXN. Desglose: hardware $58K, software/licencias, capital de trabajo.]</w:t>
      </w:r>
    </w:p>
    <w:p>
      <w:pPr>
        <w:pStyle w:val="Heading2"/>
      </w:pPr>
      <w:r>
        <w:t xml:space="preserve">Costos Operativos (OpEx)</w:t>
      </w:r>
    </w:p>
    <w:p>
      <w:pPr>
        <w:spacing w:after="120"/>
      </w:pPr>
      <w:r>
        <w:rPr>
          <w:rFonts w:ascii="Arial" w:cs="Arial" w:eastAsia="Arial" w:hAnsi="Arial"/>
          <w:i/>
          <w:iCs/>
          <w:color w:val="9CA3AF"/>
          <w:sz w:val="22"/>
          <w:szCs w:val="22"/>
        </w:rPr>
        <w:t xml:space="preserve">[OpEx mensual: $34,049.82 MXN. Desglose: mano de obra $26,400 + API $1,500 + servicios $1,449.82 + difusión $1,700 + depreciación $3,000.]</w:t>
      </w:r>
    </w:p>
    <w:p>
      <w:pPr>
        <w:pStyle w:val="Heading2"/>
      </w:pPr>
      <w:r>
        <w:t xml:space="preserve">Punto de Equilibrio</w:t>
      </w:r>
    </w:p>
    <w:p>
      <w:pPr>
        <w:spacing w:after="120"/>
      </w:pPr>
      <w:r>
        <w:rPr>
          <w:rFonts w:ascii="Arial" w:cs="Arial" w:eastAsia="Arial" w:hAnsi="Arial"/>
          <w:i/>
          <w:iCs/>
          <w:color w:val="9CA3AF"/>
          <w:sz w:val="22"/>
          <w:szCs w:val="22"/>
        </w:rPr>
        <w:t xml:space="preserve">[Punto de equilibrio: 0.8 hospitales/mes. Modelo: Setup $60K + Licencia anual $120K.]</w:t>
      </w:r>
    </w:p>
    <w:p>
      <w:pPr>
        <w:pStyle w:val="Heading2"/>
      </w:pPr>
      <w:r>
        <w:t xml:space="preserve">Estado de Resultados Pro-Forma</w:t>
      </w:r>
    </w:p>
    <w:p>
      <w:pPr>
        <w:spacing w:after="120"/>
      </w:pPr>
      <w:r>
        <w:rPr>
          <w:rFonts w:ascii="Arial" w:cs="Arial" w:eastAsia="Arial" w:hAnsi="Arial"/>
          <w:i/>
          <w:iCs/>
          <w:color w:val="9CA3AF"/>
          <w:sz w:val="22"/>
          <w:szCs w:val="22"/>
        </w:rPr>
        <w:t xml:space="preserve">[Ventas Año 1: $1.8M MXN. Proyección a 30 meses. Recuperación: Q1.]</w:t>
      </w:r>
    </w:p>
    <w:p>
      <w:pPr>
        <w:pStyle w:val="Heading2"/>
      </w:pPr>
      <w:r>
        <w:t xml:space="preserve">Flujo de Efectivo (30 meses)</w:t>
      </w:r>
    </w:p>
    <w:p>
      <w:pPr>
        <w:spacing w:after="120"/>
      </w:pPr>
      <w:r>
        <w:rPr>
          <w:rFonts w:ascii="Arial" w:cs="Arial" w:eastAsia="Arial" w:hAnsi="Arial"/>
          <w:i/>
          <w:iCs/>
          <w:color w:val="9CA3AF"/>
          <w:sz w:val="22"/>
          <w:szCs w:val="22"/>
        </w:rPr>
        <w:t xml:space="preserve">[Incluir flujo de efectivo proyectado a 30 meses con gráfica.]</w:t>
      </w:r>
    </w:p>
    <w:p>
      <w:r>
        <w:br w:type="page"/>
      </w:r>
    </w:p>
    <w:p>
      <w:pPr>
        <w:pStyle w:val="Heading1"/>
      </w:pPr>
      <w:r>
        <w:t xml:space="preserve">V. Propuesta de Inversión</w:t>
      </w:r>
    </w:p>
    <w:p>
      <w:pPr>
        <w:pStyle w:val="Heading2"/>
      </w:pPr>
      <w:r>
        <w:t xml:space="preserve">Ask de Inversión</w:t>
      </w:r>
    </w:p>
    <w:p>
      <w:pPr>
        <w:spacing w:after="120"/>
      </w:pPr>
      <w:r>
        <w:rPr>
          <w:rFonts w:ascii="Arial" w:cs="Arial" w:eastAsia="Arial" w:hAnsi="Arial"/>
          <w:i/>
          <w:iCs/>
          <w:color w:val="9CA3AF"/>
          <w:sz w:val="22"/>
          <w:szCs w:val="22"/>
        </w:rPr>
        <w:t xml:space="preserve">[Monto solicitado, valoración, porcentaje de equity ofrecido, términos.]</w:t>
      </w:r>
    </w:p>
    <w:p>
      <w:pPr>
        <w:pStyle w:val="Heading2"/>
      </w:pPr>
      <w:r>
        <w:t xml:space="preserve">Uso de Fondos</w:t>
      </w:r>
    </w:p>
    <w:p>
      <w:pPr>
        <w:spacing w:after="120"/>
      </w:pPr>
      <w:r>
        <w:rPr>
          <w:rFonts w:ascii="Arial" w:cs="Arial" w:eastAsia="Arial" w:hAnsi="Arial"/>
          <w:i/>
          <w:iCs/>
          <w:color w:val="9CA3AF"/>
          <w:sz w:val="22"/>
          <w:szCs w:val="22"/>
        </w:rPr>
        <w:t xml:space="preserve">[Distribución del capital: desarrollo, hardware, marketing, operaciones, reserva.]</w:t>
      </w:r>
    </w:p>
    <w:p>
      <w:pPr>
        <w:pStyle w:val="Heading2"/>
      </w:pPr>
      <w:r>
        <w:t xml:space="preserve">Hoja de Ruta (12 Semanas)</w:t>
      </w:r>
    </w:p>
    <w:p>
      <w:pPr>
        <w:spacing w:after="120"/>
      </w:pPr>
      <w:r>
        <w:rPr>
          <w:rFonts w:ascii="Arial" w:cs="Arial" w:eastAsia="Arial" w:hAnsi="Arial"/>
          <w:i/>
          <w:iCs/>
          <w:color w:val="9CA3AF"/>
          <w:sz w:val="22"/>
          <w:szCs w:val="22"/>
        </w:rPr>
        <w:t xml:space="preserve">[Roadmap de 12 semanas post-inversión con milestones específicos.]</w:t>
      </w:r>
    </w:p>
    <w:p>
      <w:pPr>
        <w:pStyle w:val="Heading2"/>
      </w:pPr>
      <w:r>
        <w:t xml:space="preserve">Score de Viabilidad</w:t>
      </w:r>
    </w:p>
    <w:p>
      <w:pPr>
        <w:spacing w:after="120"/>
      </w:pPr>
      <w:r>
        <w:rPr>
          <w:rFonts w:ascii="Arial" w:cs="Arial" w:eastAsia="Arial" w:hAnsi="Arial"/>
          <w:sz w:val="22"/>
          <w:szCs w:val="22"/>
        </w:rPr>
        <w:t xml:space="preserve">Score de viabilidad SIGAB: 8.25 / 10</w:t>
      </w:r>
    </w:p>
    <w:p>
      <w:pPr>
        <w:spacing w:after="120"/>
      </w:pPr>
      <w:r>
        <w:rPr>
          <w:rFonts w:ascii="Arial" w:cs="Arial" w:eastAsia="Arial" w:hAnsi="Arial"/>
          <w:i/>
          <w:iCs/>
          <w:color w:val="9CA3AF"/>
          <w:sz w:val="22"/>
          <w:szCs w:val="22"/>
        </w:rPr>
        <w:t xml:space="preserve">[Desglose del score por categoría: tecnología, mercado, equipo, finanzas, legal.]</w:t>
      </w:r>
    </w:p>
    <w:p>
      <w:r>
        <w:br w:type="page"/>
      </w:r>
    </w:p>
    <w:p>
      <w:pPr>
        <w:pStyle w:val="Heading1"/>
      </w:pPr>
      <w:r>
        <w:t xml:space="preserve">VI. Anexos</w:t>
      </w:r>
    </w:p>
    <w:p>
      <w:pPr>
        <w:pStyle w:val="Heading2"/>
      </w:pPr>
      <w:r>
        <w:t xml:space="preserve">A. Fotos del Piloto HGR No. 1</w:t>
      </w:r>
    </w:p>
    <w:p>
      <w:pPr>
        <w:spacing w:after="120"/>
      </w:pPr>
      <w:r>
        <w:rPr>
          <w:rFonts w:ascii="Arial" w:cs="Arial" w:eastAsia="Arial" w:hAnsi="Arial"/>
          <w:i/>
          <w:iCs/>
          <w:color w:val="9CA3AF"/>
          <w:sz w:val="22"/>
          <w:szCs w:val="22"/>
        </w:rPr>
        <w:t xml:space="preserve">[Insertar fotos del sistema funcionando en el hospital.]</w:t>
      </w:r>
    </w:p>
    <w:p>
      <w:pPr>
        <w:pStyle w:val="Heading2"/>
      </w:pPr>
      <w:r>
        <w:t xml:space="preserve">B. Formatos Reales del IMSS</w:t>
      </w:r>
    </w:p>
    <w:p>
      <w:pPr>
        <w:spacing w:after="120"/>
      </w:pPr>
      <w:r>
        <w:rPr>
          <w:rFonts w:ascii="Arial" w:cs="Arial" w:eastAsia="Arial" w:hAnsi="Arial"/>
          <w:i/>
          <w:iCs/>
          <w:color w:val="9CA3AF"/>
          <w:sz w:val="22"/>
          <w:szCs w:val="22"/>
        </w:rPr>
        <w:t xml:space="preserve">[Incluir ejemplos de Órdenes de Servicio originales del IMSS.]</w:t>
      </w:r>
    </w:p>
    <w:p>
      <w:pPr>
        <w:pStyle w:val="Heading2"/>
      </w:pPr>
      <w:r>
        <w:t xml:space="preserve">C. Catálogo de Refacciones 3D</w:t>
      </w:r>
    </w:p>
    <w:p>
      <w:pPr>
        <w:spacing w:after="120"/>
      </w:pPr>
      <w:r>
        <w:rPr>
          <w:rFonts w:ascii="Arial" w:cs="Arial" w:eastAsia="Arial" w:hAnsi="Arial"/>
          <w:i/>
          <w:iCs/>
          <w:color w:val="9CA3AF"/>
          <w:sz w:val="22"/>
          <w:szCs w:val="22"/>
        </w:rPr>
        <w:t xml:space="preserve">[Lista de refacciones fabricables por impresión 3D con costos comparativos.]</w:t>
      </w:r>
    </w:p>
    <w:p>
      <w:pPr>
        <w:pStyle w:val="Heading2"/>
      </w:pPr>
      <w:r>
        <w:t xml:space="preserve">D. Tabla Regulatoria Completa</w:t>
      </w:r>
    </w:p>
    <w:p>
      <w:pPr>
        <w:spacing w:after="120"/>
      </w:pPr>
      <w:r>
        <w:rPr>
          <w:rFonts w:ascii="Arial" w:cs="Arial" w:eastAsia="Arial" w:hAnsi="Arial"/>
          <w:i/>
          <w:iCs/>
          <w:color w:val="9CA3AF"/>
          <w:sz w:val="22"/>
          <w:szCs w:val="22"/>
        </w:rPr>
        <w:t xml:space="preserve">[Tabla extendida de todas las normas aplicables con descripción detallada.]</w:t>
      </w:r>
    </w:p>
    <w:p>
      <w:pPr>
        <w:pStyle w:val="Heading2"/>
      </w:pPr>
      <w:r>
        <w:t xml:space="preserve">E. Información de Contacto</w:t>
      </w:r>
    </w:p>
    <w:p>
      <w:pPr>
        <w:spacing w:after="120"/>
      </w:pPr>
      <w:r>
        <w:rPr>
          <w:rFonts w:ascii="Arial" w:cs="Arial" w:eastAsia="Arial" w:hAnsi="Arial"/>
          <w:sz w:val="22"/>
          <w:szCs w:val="22"/>
        </w:rPr>
        <w:t xml:space="preserve">López Carballo Gustavo — Director de Proyecto / CTO</w:t>
      </w:r>
    </w:p>
    <w:p>
      <w:pPr>
        <w:spacing w:after="120"/>
      </w:pPr>
      <w:r>
        <w:rPr>
          <w:rFonts w:ascii="Arial" w:cs="Arial" w:eastAsia="Arial" w:hAnsi="Arial"/>
          <w:i/>
          <w:iCs/>
          <w:color w:val="9CA3AF"/>
          <w:sz w:val="22"/>
          <w:szCs w:val="22"/>
        </w:rPr>
        <w:t xml:space="preserve">[Correo corporativo, teléfono, LinkedIn, repositorio del proyecto.]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Página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4" w:space="4"/>
      </w:pBdr>
    </w:pPr>
    <w:r>
      <w:rPr>
        <w:rFonts w:ascii="Arial" w:cs="Arial" w:eastAsia="Arial" w:hAnsi="Arial"/>
        <w:b/>
        <w:bCs/>
        <w:color w:val="1B3A5C"/>
        <w:sz w:val="18"/>
        <w:szCs w:val="18"/>
      </w:rPr>
      <w:t xml:space="preserve">SIGAB</w:t>
    </w:r>
    <w:r>
      <w:rPr>
        <w:rFonts w:ascii="Arial" w:cs="Arial" w:eastAsia="Arial" w:hAnsi="Arial"/>
        <w:color w:val="6B7280"/>
        <w:sz w:val="18"/>
        <w:szCs w:val="18"/>
      </w:rPr>
      <w:t xml:space="preserve">  —  Documento Inversionista 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0D9488"/>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2026-04-10T20:40:55.164Z</dcterms:created>
  <dcterms:modified xsi:type="dcterms:W3CDTF">2026-04-10T20:40:55.165Z</dcterms:modified>
</cp:coreProperties>
</file>

<file path=docProps/custom.xml><?xml version="1.0" encoding="utf-8"?>
<Properties xmlns="http://schemas.openxmlformats.org/officeDocument/2006/custom-properties" xmlns:vt="http://schemas.openxmlformats.org/officeDocument/2006/docPropsVTypes"/>
</file>