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0F6E" w14:textId="76C0CBA1" w:rsidR="0006257C" w:rsidRPr="00616807" w:rsidRDefault="001C53EB" w:rsidP="00616807">
      <w:pPr>
        <w:pStyle w:val="Title"/>
      </w:pPr>
      <w:r>
        <w:t>University Content</w:t>
      </w:r>
    </w:p>
    <w:p w14:paraId="103EAEE4" w14:textId="3C5FAF2E" w:rsidR="00242BD8" w:rsidRDefault="001C53EB" w:rsidP="00BE5FA8">
      <w:pPr>
        <w:pStyle w:val="Heading1"/>
      </w:pPr>
      <w:r>
        <w:t>Purpose</w:t>
      </w:r>
    </w:p>
    <w:p w14:paraId="3DD04796" w14:textId="6C7D90D0" w:rsidR="001C53EB" w:rsidRDefault="007E63A5" w:rsidP="001C53EB">
      <w:r>
        <w:t>The Content Interface is designed to help with the creation and maintenance of</w:t>
      </w:r>
      <w:r w:rsidR="00166F43">
        <w:t xml:space="preserve"> learning materials for University courses. Consequently</w:t>
      </w:r>
      <w:r w:rsidR="00D42159">
        <w:t xml:space="preserve">, the Content Interface offers functionality to help support </w:t>
      </w:r>
      <w:r w:rsidR="007261B9">
        <w:t xml:space="preserve">learning in University courses. The following </w:t>
      </w:r>
      <w:r w:rsidR="001C6A4B">
        <w:t>table provides a summary of that functionality with the following sectio</w:t>
      </w:r>
      <w:r w:rsidR="00411D39">
        <w:t>ns offering more detail.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11D39" w:rsidRPr="00411D39" w14:paraId="1BD10C9F" w14:textId="77777777" w:rsidTr="00411D39">
        <w:tc>
          <w:tcPr>
            <w:tcW w:w="2830" w:type="dxa"/>
          </w:tcPr>
          <w:p w14:paraId="45749864" w14:textId="77777777" w:rsidR="00411D39" w:rsidRPr="00411D39" w:rsidRDefault="00411D39" w:rsidP="0015108E">
            <w:pPr>
              <w:rPr>
                <w:b/>
                <w:bCs/>
              </w:rPr>
            </w:pPr>
            <w:r w:rsidRPr="00411D39">
              <w:rPr>
                <w:b/>
                <w:bCs/>
              </w:rPr>
              <w:t>Label</w:t>
            </w:r>
          </w:p>
        </w:tc>
        <w:tc>
          <w:tcPr>
            <w:tcW w:w="6186" w:type="dxa"/>
          </w:tcPr>
          <w:p w14:paraId="25071583" w14:textId="77777777" w:rsidR="00411D39" w:rsidRPr="00411D39" w:rsidRDefault="00411D39" w:rsidP="0015108E">
            <w:pPr>
              <w:rPr>
                <w:b/>
                <w:bCs/>
              </w:rPr>
            </w:pPr>
            <w:r w:rsidRPr="00411D39">
              <w:rPr>
                <w:b/>
                <w:bCs/>
              </w:rPr>
              <w:t>Description</w:t>
            </w:r>
          </w:p>
        </w:tc>
      </w:tr>
      <w:tr w:rsidR="00411D39" w:rsidRPr="00411D39" w14:paraId="1E3C9EF8" w14:textId="77777777" w:rsidTr="00411D39">
        <w:tc>
          <w:tcPr>
            <w:tcW w:w="2830" w:type="dxa"/>
          </w:tcPr>
          <w:p w14:paraId="3DDDF4EC" w14:textId="77777777" w:rsidR="00411D39" w:rsidRPr="00411D39" w:rsidRDefault="00411D39" w:rsidP="0015108E">
            <w:r w:rsidRPr="00411D39">
              <w:t>Readings</w:t>
            </w:r>
          </w:p>
        </w:tc>
        <w:tc>
          <w:tcPr>
            <w:tcW w:w="6186" w:type="dxa"/>
          </w:tcPr>
          <w:p w14:paraId="0709CE51" w14:textId="34479394" w:rsidR="00411D39" w:rsidRPr="00411D39" w:rsidRDefault="00E11880" w:rsidP="0015108E">
            <w:r>
              <w:t>V</w:t>
            </w:r>
            <w:r w:rsidR="00056A3A">
              <w:t xml:space="preserve">isually distinguish </w:t>
            </w:r>
            <w:r>
              <w:t>descriptions of readings learners should undertake.</w:t>
            </w:r>
          </w:p>
        </w:tc>
      </w:tr>
      <w:tr w:rsidR="00411D39" w:rsidRPr="00411D39" w14:paraId="4563CE66" w14:textId="77777777" w:rsidTr="00411D39">
        <w:tc>
          <w:tcPr>
            <w:tcW w:w="2830" w:type="dxa"/>
          </w:tcPr>
          <w:p w14:paraId="16AB43A6" w14:textId="77777777" w:rsidR="00411D39" w:rsidRPr="00411D39" w:rsidRDefault="00411D39" w:rsidP="0015108E">
            <w:r w:rsidRPr="00411D39">
              <w:t>Activities</w:t>
            </w:r>
          </w:p>
        </w:tc>
        <w:tc>
          <w:tcPr>
            <w:tcW w:w="6186" w:type="dxa"/>
          </w:tcPr>
          <w:p w14:paraId="434EE995" w14:textId="3FC38BB3" w:rsidR="00411D39" w:rsidRPr="00411D39" w:rsidRDefault="00E11880" w:rsidP="0015108E">
            <w:r>
              <w:t>Visually distinguish activities learners should perform.</w:t>
            </w:r>
          </w:p>
        </w:tc>
      </w:tr>
      <w:tr w:rsidR="00411D39" w:rsidRPr="00411D39" w14:paraId="672AFE13" w14:textId="77777777" w:rsidTr="00411D39">
        <w:tc>
          <w:tcPr>
            <w:tcW w:w="2830" w:type="dxa"/>
          </w:tcPr>
          <w:p w14:paraId="20F1EDA8" w14:textId="77777777" w:rsidR="00411D39" w:rsidRPr="00411D39" w:rsidRDefault="00411D39" w:rsidP="0015108E">
            <w:r w:rsidRPr="00411D39">
              <w:t>Note</w:t>
            </w:r>
          </w:p>
        </w:tc>
        <w:tc>
          <w:tcPr>
            <w:tcW w:w="6186" w:type="dxa"/>
          </w:tcPr>
          <w:p w14:paraId="7C370E42" w14:textId="17A54C9E" w:rsidR="00411D39" w:rsidRPr="00411D39" w:rsidRDefault="007522BB" w:rsidP="0015108E">
            <w:r>
              <w:t>Visually distinguish important information that learners should take note of</w:t>
            </w:r>
            <w:r w:rsidR="00AC2322">
              <w:t>.</w:t>
            </w:r>
            <w:r>
              <w:t xml:space="preserve"> </w:t>
            </w:r>
          </w:p>
        </w:tc>
      </w:tr>
      <w:tr w:rsidR="007A404F" w:rsidRPr="00411D39" w14:paraId="0F6DE0B1" w14:textId="77777777" w:rsidTr="00411D39">
        <w:tc>
          <w:tcPr>
            <w:tcW w:w="2830" w:type="dxa"/>
          </w:tcPr>
          <w:p w14:paraId="4D3F6F98" w14:textId="4638A61D" w:rsidR="007A404F" w:rsidRPr="00411D39" w:rsidRDefault="007A404F" w:rsidP="0015108E">
            <w:r>
              <w:t>Aside</w:t>
            </w:r>
          </w:p>
        </w:tc>
        <w:tc>
          <w:tcPr>
            <w:tcW w:w="6186" w:type="dxa"/>
          </w:tcPr>
          <w:p w14:paraId="15A8FFE6" w14:textId="56944F33" w:rsidR="007A404F" w:rsidRPr="00436D5A" w:rsidRDefault="009D770E" w:rsidP="0015108E">
            <w:r>
              <w:t>Represent information that is indirectly related to the main content.</w:t>
            </w:r>
            <w:r w:rsidR="00436D5A">
              <w:t xml:space="preserve"> A slightly toned</w:t>
            </w:r>
            <w:r w:rsidR="00C371D1">
              <w:t>-</w:t>
            </w:r>
            <w:r w:rsidR="00436D5A">
              <w:t xml:space="preserve">down version of </w:t>
            </w:r>
            <w:r w:rsidR="00436D5A">
              <w:rPr>
                <w:i/>
                <w:iCs/>
              </w:rPr>
              <w:t>Note</w:t>
            </w:r>
            <w:r w:rsidR="00436D5A">
              <w:t>.</w:t>
            </w:r>
          </w:p>
        </w:tc>
      </w:tr>
      <w:tr w:rsidR="00134000" w:rsidRPr="00411D39" w14:paraId="1D3B0169" w14:textId="77777777" w:rsidTr="00411D39">
        <w:tc>
          <w:tcPr>
            <w:tcW w:w="2830" w:type="dxa"/>
          </w:tcPr>
          <w:p w14:paraId="69539699" w14:textId="70171B64" w:rsidR="00134000" w:rsidRDefault="00134000" w:rsidP="0015108E">
            <w:r>
              <w:t>Indent</w:t>
            </w:r>
          </w:p>
        </w:tc>
        <w:tc>
          <w:tcPr>
            <w:tcW w:w="6186" w:type="dxa"/>
          </w:tcPr>
          <w:p w14:paraId="46C56185" w14:textId="7FB40429" w:rsidR="00134000" w:rsidRDefault="00535A06" w:rsidP="0015108E">
            <w:r>
              <w:t>Indent some text, without any additional styling</w:t>
            </w:r>
          </w:p>
        </w:tc>
      </w:tr>
      <w:tr w:rsidR="00536C97" w:rsidRPr="00411D39" w14:paraId="7A7FE02C" w14:textId="77777777" w:rsidTr="00411D39">
        <w:tc>
          <w:tcPr>
            <w:tcW w:w="2830" w:type="dxa"/>
          </w:tcPr>
          <w:p w14:paraId="52261A1B" w14:textId="0DDEE16D" w:rsidR="00536C97" w:rsidRDefault="00536C97" w:rsidP="0015108E">
            <w:r>
              <w:t>Poem</w:t>
            </w:r>
          </w:p>
        </w:tc>
        <w:tc>
          <w:tcPr>
            <w:tcW w:w="6186" w:type="dxa"/>
          </w:tcPr>
          <w:p w14:paraId="1AC45F11" w14:textId="46CF653D" w:rsidR="00536C97" w:rsidRDefault="00C371D1" w:rsidP="0015108E">
            <w:r>
              <w:t xml:space="preserve">Used to display poems. </w:t>
            </w:r>
            <w:r w:rsidR="00B51FA8">
              <w:t>Text is indented and has a shaded background</w:t>
            </w:r>
          </w:p>
        </w:tc>
      </w:tr>
      <w:tr w:rsidR="00B51FA8" w:rsidRPr="00411D39" w14:paraId="26920D8A" w14:textId="77777777" w:rsidTr="00411D39">
        <w:tc>
          <w:tcPr>
            <w:tcW w:w="2830" w:type="dxa"/>
          </w:tcPr>
          <w:p w14:paraId="570EC424" w14:textId="716F3253" w:rsidR="00B51FA8" w:rsidRDefault="008F1860" w:rsidP="0015108E">
            <w:r>
              <w:t>FAQ</w:t>
            </w:r>
            <w:r w:rsidR="00D72766">
              <w:t>s</w:t>
            </w:r>
          </w:p>
        </w:tc>
        <w:tc>
          <w:tcPr>
            <w:tcW w:w="6186" w:type="dxa"/>
          </w:tcPr>
          <w:p w14:paraId="6C8788A5" w14:textId="3659837D" w:rsidR="00B51FA8" w:rsidRDefault="00D72766" w:rsidP="0015108E">
            <w:r>
              <w:t xml:space="preserve">Two styles (FAQ </w:t>
            </w:r>
            <w:r w:rsidR="00321B98">
              <w:t>Question</w:t>
            </w:r>
            <w:r>
              <w:t xml:space="preserve"> and FAQ Answer)</w:t>
            </w:r>
          </w:p>
        </w:tc>
      </w:tr>
      <w:tr w:rsidR="00411D39" w:rsidRPr="00411D39" w14:paraId="6328C315" w14:textId="77777777" w:rsidTr="00411D39">
        <w:tc>
          <w:tcPr>
            <w:tcW w:w="2830" w:type="dxa"/>
          </w:tcPr>
          <w:p w14:paraId="776201BB" w14:textId="77777777" w:rsidR="00411D39" w:rsidRPr="00411D39" w:rsidRDefault="00411D39" w:rsidP="0015108E">
            <w:r w:rsidRPr="00411D39">
              <w:t>University Dates</w:t>
            </w:r>
          </w:p>
        </w:tc>
        <w:tc>
          <w:tcPr>
            <w:tcW w:w="6186" w:type="dxa"/>
          </w:tcPr>
          <w:p w14:paraId="05E9532E" w14:textId="5B549973" w:rsidR="00411D39" w:rsidRPr="00814488" w:rsidRDefault="00AC2322" w:rsidP="0015108E">
            <w:r>
              <w:t xml:space="preserve">Enable the automatic </w:t>
            </w:r>
            <w:r w:rsidR="00BD79DD">
              <w:t xml:space="preserve">insertion </w:t>
            </w:r>
            <w:r w:rsidR="00814488">
              <w:t xml:space="preserve">of a specific date </w:t>
            </w:r>
            <w:r w:rsidR="00BD79DD">
              <w:t>into</w:t>
            </w:r>
            <w:r>
              <w:t xml:space="preserve"> generic </w:t>
            </w:r>
            <w:r w:rsidR="00BD79DD">
              <w:t xml:space="preserve">date descriptions </w:t>
            </w:r>
            <w:proofErr w:type="gramStart"/>
            <w:r w:rsidR="00BD79DD">
              <w:t>-  e.g.</w:t>
            </w:r>
            <w:proofErr w:type="gramEnd"/>
            <w:r w:rsidR="00BD79DD">
              <w:t xml:space="preserve"> </w:t>
            </w:r>
            <w:r w:rsidR="00BD79DD">
              <w:rPr>
                <w:i/>
                <w:iCs/>
              </w:rPr>
              <w:t>Monday, Week 5</w:t>
            </w:r>
            <w:r w:rsidR="00814488">
              <w:rPr>
                <w:i/>
                <w:iCs/>
              </w:rPr>
              <w:t xml:space="preserve"> </w:t>
            </w:r>
            <w:r w:rsidR="00814488">
              <w:t xml:space="preserve">becomes </w:t>
            </w:r>
            <w:r w:rsidR="00814488">
              <w:rPr>
                <w:i/>
                <w:iCs/>
              </w:rPr>
              <w:t>Monday, Week 5 (20 August, 2020)</w:t>
            </w:r>
            <w:r w:rsidR="00814488">
              <w:t xml:space="preserve"> </w:t>
            </w:r>
            <w:r w:rsidR="003D4544">
              <w:t>–</w:t>
            </w:r>
            <w:r w:rsidR="00814488">
              <w:t xml:space="preserve"> </w:t>
            </w:r>
            <w:r w:rsidR="003D4544">
              <w:t>based on the trimester or study period for the specific course site.</w:t>
            </w:r>
          </w:p>
        </w:tc>
      </w:tr>
      <w:tr w:rsidR="00411D39" w:rsidRPr="00411D39" w14:paraId="1B66C216" w14:textId="77777777" w:rsidTr="00411D39">
        <w:tc>
          <w:tcPr>
            <w:tcW w:w="2830" w:type="dxa"/>
          </w:tcPr>
          <w:p w14:paraId="2DD0DF63" w14:textId="77777777" w:rsidR="00411D39" w:rsidRPr="00411D39" w:rsidRDefault="00411D39" w:rsidP="0015108E">
            <w:r w:rsidRPr="00411D39">
              <w:t>Film Watching Options</w:t>
            </w:r>
          </w:p>
        </w:tc>
        <w:tc>
          <w:tcPr>
            <w:tcW w:w="6186" w:type="dxa"/>
          </w:tcPr>
          <w:p w14:paraId="41169BE0" w14:textId="77F50C19" w:rsidR="00411D39" w:rsidRPr="00411D39" w:rsidRDefault="00710314" w:rsidP="0015108E">
            <w:r>
              <w:t>Automatically translate the name of a film into specific instructions for how learners may watch the film</w:t>
            </w:r>
            <w:r w:rsidR="00503849">
              <w:t>.</w:t>
            </w:r>
          </w:p>
        </w:tc>
      </w:tr>
    </w:tbl>
    <w:p w14:paraId="504791E5" w14:textId="481689C3" w:rsidR="001C7FB1" w:rsidRDefault="001C7FB1" w:rsidP="001C7FB1">
      <w:pPr>
        <w:pStyle w:val="Heading1"/>
      </w:pPr>
      <w:r>
        <w:t>Activit</w:t>
      </w:r>
      <w:r w:rsidR="004F071E">
        <w:t>y</w:t>
      </w:r>
    </w:p>
    <w:p w14:paraId="64B4F061" w14:textId="7EEFAF75" w:rsidR="001C7FB1" w:rsidRDefault="001C7FB1" w:rsidP="001C7FB1">
      <w:r>
        <w:t xml:space="preserve">An activity will be displayed on the web in a way different to a reading. However, you specify an activity much the same way.  Create the text and then apply the </w:t>
      </w:r>
      <w:r>
        <w:rPr>
          <w:i/>
        </w:rPr>
        <w:t>Activity</w:t>
      </w:r>
      <w:r w:rsidRPr="00F149E0">
        <w:rPr>
          <w:iCs/>
        </w:rPr>
        <w:t xml:space="preserve"> </w:t>
      </w:r>
      <w:r>
        <w:t xml:space="preserve">style to it. As seen below, the </w:t>
      </w:r>
      <w:r>
        <w:rPr>
          <w:i/>
        </w:rPr>
        <w:t>Activity</w:t>
      </w:r>
      <w:r w:rsidRPr="00F149E0">
        <w:rPr>
          <w:iCs/>
        </w:rPr>
        <w:t xml:space="preserve"> </w:t>
      </w:r>
      <w:r>
        <w:t>style has a different background colour (blue) to highlight the different style.</w:t>
      </w:r>
    </w:p>
    <w:p w14:paraId="4C2B272B" w14:textId="4166C848" w:rsidR="00E12C9C" w:rsidRDefault="00E12C9C" w:rsidP="00FA01D7">
      <w:pPr>
        <w:pStyle w:val="Heading3"/>
      </w:pPr>
      <w:r>
        <w:t>What it looks like in Word</w:t>
      </w:r>
    </w:p>
    <w:p w14:paraId="289DC7B6" w14:textId="77777777" w:rsidR="00643B51" w:rsidRDefault="00E20492" w:rsidP="0091750D">
      <w:pPr>
        <w:pStyle w:val="Picture"/>
      </w:pPr>
      <w:r>
        <w:rPr>
          <w:noProof/>
        </w:rPr>
        <w:drawing>
          <wp:inline distT="0" distB="0" distL="0" distR="0" wp14:anchorId="0A9B04FE" wp14:editId="5217B611">
            <wp:extent cx="5731510" cy="570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913" b="-1"/>
                    <a:stretch/>
                  </pic:blipFill>
                  <pic:spPr bwMode="auto"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E4AB9" w14:textId="4F26E0E1" w:rsidR="00E12C9C" w:rsidRDefault="00643B51" w:rsidP="0091750D">
      <w:pPr>
        <w:pStyle w:val="Picture"/>
      </w:pPr>
      <w:bookmarkStart w:id="0" w:name="_Ref87416113"/>
      <w:r>
        <w:t xml:space="preserve">Figure </w:t>
      </w:r>
      <w:fldSimple w:instr=" SEQ Figure \* ARABIC ">
        <w:r w:rsidR="00032D2F">
          <w:rPr>
            <w:noProof/>
          </w:rPr>
          <w:t>1</w:t>
        </w:r>
      </w:fldSimple>
      <w:bookmarkEnd w:id="0"/>
      <w:r>
        <w:t xml:space="preserve"> - Example of activity style as it appears in Word</w:t>
      </w:r>
    </w:p>
    <w:p w14:paraId="7E4D72F2" w14:textId="24EF23AC" w:rsidR="00E12C9C" w:rsidRDefault="00E12C9C" w:rsidP="00FA01D7">
      <w:pPr>
        <w:pStyle w:val="Heading3"/>
      </w:pPr>
      <w:r>
        <w:lastRenderedPageBreak/>
        <w:t>What it looks like on the Web</w:t>
      </w:r>
    </w:p>
    <w:p w14:paraId="4A4B2AA2" w14:textId="77777777" w:rsidR="00643B51" w:rsidRDefault="00643B51" w:rsidP="0091750D">
      <w:pPr>
        <w:pStyle w:val="Picture"/>
      </w:pPr>
      <w:r>
        <w:rPr>
          <w:noProof/>
        </w:rPr>
        <w:drawing>
          <wp:inline distT="0" distB="0" distL="0" distR="0" wp14:anchorId="698B303E" wp14:editId="764DD6E9">
            <wp:extent cx="5731510" cy="976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5395" w14:textId="62450547" w:rsidR="00E12C9C" w:rsidRPr="00E12C9C" w:rsidRDefault="00643B51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2</w:t>
        </w:r>
      </w:fldSimple>
      <w:r>
        <w:t xml:space="preserve"> - Example activity style as it appears on the Web</w:t>
      </w:r>
    </w:p>
    <w:p w14:paraId="34F585A8" w14:textId="402BC194" w:rsidR="001C7FB1" w:rsidRDefault="001C7FB1" w:rsidP="001C7FB1">
      <w:pPr>
        <w:pStyle w:val="Heading1"/>
      </w:pPr>
      <w:r>
        <w:t>Note</w:t>
      </w:r>
    </w:p>
    <w:p w14:paraId="4A155027" w14:textId="2ABBA0CE" w:rsidR="001C7FB1" w:rsidRDefault="001C7FB1" w:rsidP="001C7FB1">
      <w:r>
        <w:t xml:space="preserve">Any text that has the </w:t>
      </w:r>
      <w:r>
        <w:rPr>
          <w:i/>
        </w:rPr>
        <w:t>Note</w:t>
      </w:r>
      <w:r>
        <w:t xml:space="preserve"> style applied will appear currently in </w:t>
      </w:r>
      <w:proofErr w:type="gramStart"/>
      <w:r>
        <w:t>a quite obvious</w:t>
      </w:r>
      <w:proofErr w:type="gramEnd"/>
      <w:r>
        <w:t xml:space="preserve"> warning box when displayed online (and yellow background when displayed in Word). </w:t>
      </w:r>
    </w:p>
    <w:p w14:paraId="7D8B1423" w14:textId="3D38D9AC" w:rsidR="00643B51" w:rsidRDefault="00643B51" w:rsidP="00FA01D7">
      <w:pPr>
        <w:pStyle w:val="Heading3"/>
      </w:pPr>
      <w:r>
        <w:t>What it looks like in Word</w:t>
      </w:r>
    </w:p>
    <w:p w14:paraId="3BCA142E" w14:textId="77777777" w:rsidR="0091750D" w:rsidRDefault="0091750D" w:rsidP="0091750D">
      <w:pPr>
        <w:pStyle w:val="Picture"/>
      </w:pPr>
      <w:r>
        <w:rPr>
          <w:noProof/>
        </w:rPr>
        <w:drawing>
          <wp:inline distT="0" distB="0" distL="0" distR="0" wp14:anchorId="4CAC39E0" wp14:editId="27DAAC46">
            <wp:extent cx="5731510" cy="7054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739A" w14:textId="461AE0F3" w:rsidR="00643B51" w:rsidRDefault="0091750D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3</w:t>
        </w:r>
      </w:fldSimple>
      <w:r>
        <w:t xml:space="preserve"> - Note style example as shown in Word</w:t>
      </w:r>
    </w:p>
    <w:p w14:paraId="76C36E8E" w14:textId="60CDDEBB" w:rsidR="00643B51" w:rsidRDefault="00643B51" w:rsidP="00FA01D7">
      <w:pPr>
        <w:pStyle w:val="Heading3"/>
      </w:pPr>
      <w:r>
        <w:t>What it looks like on the Web</w:t>
      </w:r>
    </w:p>
    <w:p w14:paraId="15DD169D" w14:textId="77777777" w:rsidR="0091750D" w:rsidRDefault="0091750D" w:rsidP="0091750D">
      <w:pPr>
        <w:pStyle w:val="Picture"/>
      </w:pPr>
      <w:r>
        <w:rPr>
          <w:noProof/>
        </w:rPr>
        <w:drawing>
          <wp:inline distT="0" distB="0" distL="0" distR="0" wp14:anchorId="394C9A8D" wp14:editId="19C34FD5">
            <wp:extent cx="5731510" cy="13131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A7F0" w14:textId="1DC58302" w:rsidR="00643B51" w:rsidRPr="00643B51" w:rsidRDefault="0091750D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4</w:t>
        </w:r>
      </w:fldSimple>
      <w:r>
        <w:t xml:space="preserve"> - Note style example as shown on the Web</w:t>
      </w:r>
    </w:p>
    <w:p w14:paraId="283F1831" w14:textId="2A8AB00D" w:rsidR="0005482F" w:rsidRDefault="0005482F" w:rsidP="0005482F">
      <w:pPr>
        <w:pStyle w:val="Heading1"/>
      </w:pPr>
      <w:r>
        <w:t>Aside</w:t>
      </w:r>
    </w:p>
    <w:p w14:paraId="2590A629" w14:textId="39BB3E8D" w:rsidR="004F071E" w:rsidRDefault="004F071E" w:rsidP="004F071E">
      <w:r>
        <w:t xml:space="preserve">The </w:t>
      </w:r>
      <w:r>
        <w:rPr>
          <w:i/>
          <w:iCs/>
        </w:rPr>
        <w:t>Note</w:t>
      </w:r>
      <w:r>
        <w:t xml:space="preserve"> style can be a little extreme for some purposes. Sometimes you just want to </w:t>
      </w:r>
      <w:r w:rsidR="00EA6726">
        <w:t xml:space="preserve">add something that is indirectly related to the content. Useful to highlight but </w:t>
      </w:r>
      <w:r w:rsidR="00F906D8">
        <w:t xml:space="preserve">not a warning. </w:t>
      </w:r>
      <w:r w:rsidR="00E654DD">
        <w:t xml:space="preserve">A purpose that fits the </w:t>
      </w:r>
      <w:r w:rsidR="00F906D8">
        <w:rPr>
          <w:i/>
          <w:iCs/>
        </w:rPr>
        <w:t>Aside</w:t>
      </w:r>
      <w:r w:rsidR="00F906D8">
        <w:t xml:space="preserve"> style</w:t>
      </w:r>
      <w:r w:rsidR="00E654DD">
        <w:t>.</w:t>
      </w:r>
    </w:p>
    <w:p w14:paraId="7D06BB36" w14:textId="77777777" w:rsidR="00643B51" w:rsidRDefault="00643B51" w:rsidP="00FA01D7">
      <w:pPr>
        <w:pStyle w:val="Heading3"/>
      </w:pPr>
      <w:r>
        <w:t>What it looks like in Word</w:t>
      </w:r>
    </w:p>
    <w:p w14:paraId="52E7F74F" w14:textId="77777777" w:rsidR="00CB5B4E" w:rsidRDefault="00CB5B4E" w:rsidP="0091750D">
      <w:pPr>
        <w:pStyle w:val="Picture"/>
      </w:pPr>
      <w:r>
        <w:rPr>
          <w:noProof/>
        </w:rPr>
        <w:drawing>
          <wp:inline distT="0" distB="0" distL="0" distR="0" wp14:anchorId="722B4B34" wp14:editId="2FE406C8">
            <wp:extent cx="5731510" cy="4883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682B" w14:textId="3E384E11" w:rsidR="00CB5B4E" w:rsidRDefault="00CB5B4E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5</w:t>
        </w:r>
      </w:fldSimple>
      <w:r>
        <w:t xml:space="preserve"> - Aside style example as shown in Word</w:t>
      </w:r>
    </w:p>
    <w:p w14:paraId="3755DD8B" w14:textId="36180797" w:rsidR="00643B51" w:rsidRDefault="00643B51" w:rsidP="00FA01D7">
      <w:pPr>
        <w:pStyle w:val="Heading3"/>
      </w:pPr>
      <w:r>
        <w:t>What it looks like on the Web</w:t>
      </w:r>
    </w:p>
    <w:p w14:paraId="1EDF9749" w14:textId="77777777" w:rsidR="00CB5B4E" w:rsidRDefault="00CB5B4E" w:rsidP="0091750D">
      <w:pPr>
        <w:pStyle w:val="Picture"/>
      </w:pPr>
      <w:r>
        <w:rPr>
          <w:noProof/>
        </w:rPr>
        <w:drawing>
          <wp:inline distT="0" distB="0" distL="0" distR="0" wp14:anchorId="0C3AE614" wp14:editId="49B2F815">
            <wp:extent cx="5731510" cy="7874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7E9" w14:textId="3CACACFD" w:rsidR="00643B51" w:rsidRDefault="00CB5B4E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6</w:t>
        </w:r>
      </w:fldSimple>
      <w:r>
        <w:t xml:space="preserve"> - Aside style example as shown on the Web</w:t>
      </w:r>
    </w:p>
    <w:p w14:paraId="11855270" w14:textId="42C681C5" w:rsidR="004D292D" w:rsidRDefault="004D292D" w:rsidP="00056A3A">
      <w:pPr>
        <w:pStyle w:val="Heading1"/>
      </w:pPr>
      <w:r>
        <w:lastRenderedPageBreak/>
        <w:t>Reading</w:t>
      </w:r>
    </w:p>
    <w:p w14:paraId="477D1F30" w14:textId="092F2BB0" w:rsidR="004456FF" w:rsidRPr="00F372EA" w:rsidRDefault="004456FF" w:rsidP="004456FF">
      <w:r>
        <w:t xml:space="preserve">If you want to have something appear as a reading that is clearly separate from the rest of the </w:t>
      </w:r>
      <w:proofErr w:type="gramStart"/>
      <w:r>
        <w:t>text</w:t>
      </w:r>
      <w:proofErr w:type="gramEnd"/>
      <w:r>
        <w:t xml:space="preserve"> then apply the </w:t>
      </w:r>
      <w:r>
        <w:rPr>
          <w:i/>
        </w:rPr>
        <w:t>Reading</w:t>
      </w:r>
      <w:r>
        <w:t xml:space="preserve"> style. As I’ve done with the following content.</w:t>
      </w:r>
      <w:r w:rsidR="00F372EA">
        <w:t xml:space="preserve"> Not the different background colour that is part of the </w:t>
      </w:r>
      <w:r w:rsidR="00F372EA">
        <w:rPr>
          <w:i/>
        </w:rPr>
        <w:t>Reading</w:t>
      </w:r>
      <w:r w:rsidR="00F372EA">
        <w:t xml:space="preserve"> style. This change in colour is used to more clearly indicate what is or is not a reading.</w:t>
      </w:r>
    </w:p>
    <w:p w14:paraId="262251BA" w14:textId="77777777" w:rsidR="004456FF" w:rsidRPr="00DC7780" w:rsidRDefault="004456FF" w:rsidP="004456FF">
      <w:r>
        <w:t xml:space="preserve">Current practice is to have a title for the reading (or activity that is not styled </w:t>
      </w:r>
      <w:r>
        <w:rPr>
          <w:i/>
        </w:rPr>
        <w:t>Reading</w:t>
      </w:r>
      <w:r>
        <w:t>). As shown below.</w:t>
      </w:r>
    </w:p>
    <w:p w14:paraId="052F716C" w14:textId="77777777" w:rsidR="00643B51" w:rsidRDefault="00643B51" w:rsidP="001904C5">
      <w:pPr>
        <w:pStyle w:val="Heading3"/>
      </w:pPr>
      <w:r>
        <w:t>What it looks like in Word</w:t>
      </w:r>
    </w:p>
    <w:p w14:paraId="14CAB0EB" w14:textId="77777777" w:rsidR="00F65FD6" w:rsidRDefault="008A6D14" w:rsidP="0091750D">
      <w:pPr>
        <w:pStyle w:val="Picture"/>
      </w:pPr>
      <w:r>
        <w:rPr>
          <w:noProof/>
        </w:rPr>
        <w:drawing>
          <wp:inline distT="0" distB="0" distL="0" distR="0" wp14:anchorId="4AC56CB1" wp14:editId="640314D1">
            <wp:extent cx="5731510" cy="10782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E00E" w14:textId="2D2C1FA9" w:rsidR="00643B51" w:rsidRDefault="00F65FD6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7</w:t>
        </w:r>
      </w:fldSimple>
      <w:r>
        <w:t xml:space="preserve"> - Reading style example as shown in Word</w:t>
      </w:r>
    </w:p>
    <w:p w14:paraId="238625D2" w14:textId="77777777" w:rsidR="00643B51" w:rsidRDefault="00643B51" w:rsidP="001904C5">
      <w:pPr>
        <w:pStyle w:val="Heading3"/>
      </w:pPr>
      <w:r>
        <w:t>What it looks like on the Web</w:t>
      </w:r>
    </w:p>
    <w:p w14:paraId="238B75C9" w14:textId="77777777" w:rsidR="00F65FD6" w:rsidRDefault="00F65FD6" w:rsidP="0091750D">
      <w:pPr>
        <w:pStyle w:val="Picture"/>
      </w:pPr>
      <w:r>
        <w:rPr>
          <w:noProof/>
        </w:rPr>
        <w:drawing>
          <wp:inline distT="0" distB="0" distL="0" distR="0" wp14:anchorId="1214620D" wp14:editId="62646B26">
            <wp:extent cx="5731510" cy="11880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A25E" w14:textId="5B12A5E0" w:rsidR="004D292D" w:rsidRDefault="00F65FD6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8</w:t>
        </w:r>
      </w:fldSimple>
      <w:r>
        <w:t xml:space="preserve"> - Reading style example from the Web</w:t>
      </w:r>
    </w:p>
    <w:p w14:paraId="65A54D99" w14:textId="2FFB5B8C" w:rsidR="00F46ABA" w:rsidRDefault="00F46ABA" w:rsidP="00F46ABA">
      <w:pPr>
        <w:pStyle w:val="Heading1"/>
      </w:pPr>
      <w:r>
        <w:t>Poem</w:t>
      </w:r>
    </w:p>
    <w:p w14:paraId="59EBEE10" w14:textId="07C84903" w:rsidR="003313CB" w:rsidRDefault="007A4AB4" w:rsidP="00F46ABA">
      <w:r>
        <w:t>Some courses</w:t>
      </w:r>
      <w:r w:rsidR="009B0524">
        <w:t xml:space="preserve"> wish to display poems in a visually distinct way. The </w:t>
      </w:r>
      <w:r w:rsidR="009B0524">
        <w:rPr>
          <w:i/>
          <w:iCs/>
        </w:rPr>
        <w:t>Poem</w:t>
      </w:r>
      <w:r w:rsidR="009B0524">
        <w:t xml:space="preserve"> style provides one</w:t>
      </w:r>
      <w:r w:rsidR="003A21DA">
        <w:t xml:space="preserve"> method.</w:t>
      </w:r>
      <w:r w:rsidR="00942C0B">
        <w:t xml:space="preserve"> </w:t>
      </w:r>
    </w:p>
    <w:p w14:paraId="53EA48E4" w14:textId="77777777" w:rsidR="003313CB" w:rsidRDefault="003313CB" w:rsidP="001904C5">
      <w:pPr>
        <w:pStyle w:val="Heading3"/>
      </w:pPr>
      <w:r>
        <w:t>What it looks like in Word</w:t>
      </w:r>
    </w:p>
    <w:p w14:paraId="3CA8D224" w14:textId="77777777" w:rsidR="00405D05" w:rsidRDefault="00405D05" w:rsidP="0091750D">
      <w:pPr>
        <w:pStyle w:val="Picture"/>
      </w:pPr>
      <w:r>
        <w:rPr>
          <w:noProof/>
        </w:rPr>
        <w:drawing>
          <wp:inline distT="0" distB="0" distL="0" distR="0" wp14:anchorId="4636F2A0" wp14:editId="23720868">
            <wp:extent cx="5731510" cy="1504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AA5" w14:textId="07D9EEF2" w:rsidR="003313CB" w:rsidRDefault="00405D05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9</w:t>
        </w:r>
      </w:fldSimple>
      <w:r>
        <w:t xml:space="preserve"> - Poem style example as shown in Word</w:t>
      </w:r>
    </w:p>
    <w:p w14:paraId="079FD14A" w14:textId="77777777" w:rsidR="003313CB" w:rsidRDefault="003313CB" w:rsidP="001904C5">
      <w:pPr>
        <w:pStyle w:val="Heading3"/>
      </w:pPr>
      <w:r>
        <w:lastRenderedPageBreak/>
        <w:t>What it looks like on the Web</w:t>
      </w:r>
    </w:p>
    <w:p w14:paraId="1C294CFE" w14:textId="77777777" w:rsidR="00405D05" w:rsidRDefault="00405D05" w:rsidP="0091750D">
      <w:pPr>
        <w:pStyle w:val="Picture"/>
      </w:pPr>
      <w:r>
        <w:rPr>
          <w:noProof/>
        </w:rPr>
        <w:drawing>
          <wp:inline distT="0" distB="0" distL="0" distR="0" wp14:anchorId="0633D438" wp14:editId="629DA2CF">
            <wp:extent cx="5731510" cy="18561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ACFE" w14:textId="5EE9733C" w:rsidR="003313CB" w:rsidRDefault="00405D05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10</w:t>
        </w:r>
      </w:fldSimple>
      <w:r>
        <w:t xml:space="preserve"> - Poem style example as it appears on the Web</w:t>
      </w:r>
    </w:p>
    <w:p w14:paraId="73D4F89E" w14:textId="3367D7FE" w:rsidR="00F46ABA" w:rsidRDefault="00F46ABA" w:rsidP="00F46ABA">
      <w:pPr>
        <w:pStyle w:val="Heading1"/>
      </w:pPr>
      <w:r>
        <w:t>FAQs</w:t>
      </w:r>
    </w:p>
    <w:p w14:paraId="31D5EE56" w14:textId="2ECA98FD" w:rsidR="00F46ABA" w:rsidRDefault="00704051" w:rsidP="00F46ABA">
      <w:r>
        <w:t>Providing Frequently Asked Questions (FAQs) is a common requirement. FAQs can be displayed in a variety of ways</w:t>
      </w:r>
      <w:r w:rsidR="00007C68">
        <w:t>. Explicit support for FAQs is provided by two styles:</w:t>
      </w:r>
    </w:p>
    <w:p w14:paraId="2D5BF30F" w14:textId="66A024E5" w:rsidR="00007C68" w:rsidRDefault="00007C68" w:rsidP="00007C68">
      <w:pPr>
        <w:pStyle w:val="ListParagraph"/>
        <w:numPr>
          <w:ilvl w:val="0"/>
          <w:numId w:val="46"/>
        </w:numPr>
      </w:pPr>
      <w:r>
        <w:t>FAQ Question – define</w:t>
      </w:r>
      <w:r w:rsidR="000A4065">
        <w:t>s</w:t>
      </w:r>
      <w:r>
        <w:t xml:space="preserve"> the question </w:t>
      </w:r>
      <w:r w:rsidR="007A715D">
        <w:t>or header.</w:t>
      </w:r>
    </w:p>
    <w:p w14:paraId="3C2CF404" w14:textId="0AB7CB72" w:rsidR="000A4065" w:rsidRDefault="000A4065" w:rsidP="00007C68">
      <w:pPr>
        <w:pStyle w:val="ListParagraph"/>
        <w:numPr>
          <w:ilvl w:val="0"/>
          <w:numId w:val="46"/>
        </w:numPr>
      </w:pPr>
      <w:r>
        <w:t>FAQ Answer – defines the answer.</w:t>
      </w:r>
    </w:p>
    <w:p w14:paraId="5675506E" w14:textId="77777777" w:rsidR="003313CB" w:rsidRDefault="003313CB" w:rsidP="001904C5">
      <w:pPr>
        <w:pStyle w:val="Heading3"/>
      </w:pPr>
      <w:r>
        <w:t>What it looks like in Word</w:t>
      </w:r>
    </w:p>
    <w:p w14:paraId="3450E442" w14:textId="77777777" w:rsidR="00912A84" w:rsidRDefault="00912A84" w:rsidP="0091750D">
      <w:pPr>
        <w:pStyle w:val="Picture"/>
      </w:pPr>
      <w:r>
        <w:rPr>
          <w:noProof/>
        </w:rPr>
        <w:drawing>
          <wp:inline distT="0" distB="0" distL="0" distR="0" wp14:anchorId="481418B9" wp14:editId="68C33EFD">
            <wp:extent cx="5731510" cy="17081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F17" w14:textId="5E69E8C4" w:rsidR="003313CB" w:rsidRDefault="00912A84" w:rsidP="0091750D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11</w:t>
        </w:r>
      </w:fldSimple>
      <w:r>
        <w:t xml:space="preserve"> - FAQ Question and FAQ Answer styles in Word</w:t>
      </w:r>
    </w:p>
    <w:p w14:paraId="7F01AB1B" w14:textId="2ECC6E02" w:rsidR="003313CB" w:rsidRDefault="003313CB" w:rsidP="001904C5">
      <w:pPr>
        <w:pStyle w:val="Heading3"/>
      </w:pPr>
      <w:r>
        <w:t>What it looks like on the Web</w:t>
      </w:r>
    </w:p>
    <w:p w14:paraId="76671C82" w14:textId="11D38391" w:rsidR="00C02A50" w:rsidRDefault="001904C5" w:rsidP="001904C5">
      <w:r>
        <w:t xml:space="preserve">As suggested in </w:t>
      </w:r>
      <w:r>
        <w:fldChar w:fldCharType="begin"/>
      </w:r>
      <w:r>
        <w:instrText xml:space="preserve"> REF _Ref82170944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12</w:t>
      </w:r>
      <w:r>
        <w:fldChar w:fldCharType="end"/>
      </w:r>
      <w:r w:rsidR="00E950EF">
        <w:t xml:space="preserve"> initially only the questions (the text styled with the </w:t>
      </w:r>
      <w:r w:rsidR="00E950EF" w:rsidRPr="00E950EF">
        <w:rPr>
          <w:i/>
          <w:iCs/>
        </w:rPr>
        <w:t>FAQ Question</w:t>
      </w:r>
      <w:r w:rsidR="00E950EF">
        <w:t xml:space="preserve"> style) appear. To view an answer (the text styled with the </w:t>
      </w:r>
      <w:r w:rsidR="00E950EF">
        <w:rPr>
          <w:i/>
          <w:iCs/>
        </w:rPr>
        <w:t>FAQ Answer</w:t>
      </w:r>
      <w:r w:rsidR="00E950EF">
        <w:t xml:space="preserve"> style) the visitor clicks on the </w:t>
      </w:r>
      <w:r w:rsidR="00C02A50">
        <w:t>question. Clicking on the question again causes that answer to be hidden.</w:t>
      </w:r>
    </w:p>
    <w:p w14:paraId="73A52029" w14:textId="60EE0A90" w:rsidR="001904C5" w:rsidRPr="00E950EF" w:rsidRDefault="00C02A50" w:rsidP="001904C5">
      <w:r>
        <w:t xml:space="preserve">Only one answer at a time is displayed. </w:t>
      </w:r>
    </w:p>
    <w:p w14:paraId="1C65F1E3" w14:textId="77777777" w:rsidR="00DF0C22" w:rsidRDefault="00DF0C22" w:rsidP="0091750D">
      <w:pPr>
        <w:pStyle w:val="Picture"/>
      </w:pPr>
      <w:r>
        <w:rPr>
          <w:noProof/>
        </w:rPr>
        <w:drawing>
          <wp:inline distT="0" distB="0" distL="0" distR="0" wp14:anchorId="767031A6" wp14:editId="50553928">
            <wp:extent cx="5731510" cy="13703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172" w14:textId="5812B52A" w:rsidR="003313CB" w:rsidRDefault="00DF0C22" w:rsidP="0091750D">
      <w:pPr>
        <w:pStyle w:val="Picture"/>
      </w:pPr>
      <w:bookmarkStart w:id="1" w:name="_Ref82170944"/>
      <w:r>
        <w:t xml:space="preserve">Figure </w:t>
      </w:r>
      <w:fldSimple w:instr=" SEQ Figure \* ARABIC ">
        <w:r w:rsidR="00032D2F">
          <w:rPr>
            <w:noProof/>
          </w:rPr>
          <w:t>12</w:t>
        </w:r>
      </w:fldSimple>
      <w:bookmarkEnd w:id="1"/>
      <w:r>
        <w:t xml:space="preserve"> - FAQ Question and FAQ Answer styles on the Web</w:t>
      </w:r>
    </w:p>
    <w:p w14:paraId="67398155" w14:textId="12531F9B" w:rsidR="00EE0B90" w:rsidRDefault="00503849" w:rsidP="00A31958">
      <w:pPr>
        <w:pStyle w:val="Heading1"/>
      </w:pPr>
      <w:r>
        <w:lastRenderedPageBreak/>
        <w:t>University Dates</w:t>
      </w:r>
    </w:p>
    <w:p w14:paraId="27BBC5D3" w14:textId="17BAC0B6" w:rsidR="00EE0B90" w:rsidRDefault="00961C66" w:rsidP="00EE0B90">
      <w:r>
        <w:t xml:space="preserve">If you wish to include the date for an assignment you might </w:t>
      </w:r>
      <w:r w:rsidR="000C07F6">
        <w:t>write</w:t>
      </w:r>
    </w:p>
    <w:p w14:paraId="09A2BE4A" w14:textId="5FF73A87" w:rsidR="00961C66" w:rsidRDefault="00961C66" w:rsidP="00961C66">
      <w:pPr>
        <w:pStyle w:val="Quote"/>
      </w:pPr>
      <w:r>
        <w:t xml:space="preserve">Assignment 1 due 5pm on Wednesday </w:t>
      </w:r>
      <w:r w:rsidR="00857E70">
        <w:t>Week 5 (</w:t>
      </w:r>
      <w:r>
        <w:t>17 March 2019</w:t>
      </w:r>
      <w:r w:rsidR="00857E70">
        <w:t>)</w:t>
      </w:r>
      <w:r w:rsidR="008F60EB">
        <w:t>.</w:t>
      </w:r>
    </w:p>
    <w:p w14:paraId="3BF20AF3" w14:textId="6A4B59C2" w:rsidR="008F60EB" w:rsidRDefault="008F60EB" w:rsidP="008F60EB">
      <w:r>
        <w:rPr>
          <w:b/>
          <w:bCs/>
        </w:rPr>
        <w:t>Problem:</w:t>
      </w:r>
      <w:r w:rsidRPr="00BD23D7">
        <w:t xml:space="preserve"> </w:t>
      </w:r>
      <w:r>
        <w:t xml:space="preserve">What happens when your course content gets rolled over into another trimester or study period? A study period that has different dates. </w:t>
      </w:r>
      <w:r w:rsidR="00857E70">
        <w:t>Almost certainly Wednesday Week 5 will no longer be 17 March 2019.</w:t>
      </w:r>
    </w:p>
    <w:p w14:paraId="67BF6A4D" w14:textId="0F771F64" w:rsidR="009732B6" w:rsidRDefault="00204E50" w:rsidP="008F60EB">
      <w:r>
        <w:t xml:space="preserve">The solution to this problem is to use the </w:t>
      </w:r>
      <w:r>
        <w:rPr>
          <w:i/>
          <w:iCs/>
        </w:rPr>
        <w:t>University Date</w:t>
      </w:r>
      <w:r w:rsidRPr="00BD23D7">
        <w:t xml:space="preserve"> </w:t>
      </w:r>
      <w:r>
        <w:t>style</w:t>
      </w:r>
      <w:r w:rsidR="00BA0977">
        <w:t xml:space="preserve"> to tell the Content Interface to insert a date specific to the course</w:t>
      </w:r>
      <w:r w:rsidR="001B6EE4">
        <w:t>’s current trimester/study period</w:t>
      </w:r>
      <w:r>
        <w:t>.</w:t>
      </w:r>
    </w:p>
    <w:p w14:paraId="67FBF98C" w14:textId="56FA7A49" w:rsidR="00731E85" w:rsidRDefault="000167BB" w:rsidP="00281785">
      <w:pPr>
        <w:pStyle w:val="Heading3"/>
      </w:pPr>
      <w:r>
        <w:t>What it looks like in Word</w:t>
      </w:r>
    </w:p>
    <w:p w14:paraId="6232335C" w14:textId="0E5B1590" w:rsidR="00313BFC" w:rsidRPr="002C0F39" w:rsidRDefault="00684DF5" w:rsidP="00313BFC">
      <w:r>
        <w:fldChar w:fldCharType="begin"/>
      </w:r>
      <w:r>
        <w:instrText xml:space="preserve"> REF _Ref82170423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13</w:t>
      </w:r>
      <w:r>
        <w:fldChar w:fldCharType="end"/>
      </w:r>
      <w:r>
        <w:t xml:space="preserve"> shows numerous examples of the </w:t>
      </w:r>
      <w:r>
        <w:rPr>
          <w:i/>
          <w:iCs/>
        </w:rPr>
        <w:t>University Date</w:t>
      </w:r>
      <w:r>
        <w:t xml:space="preserve"> style being used in Word. Any text shown in red</w:t>
      </w:r>
      <w:r w:rsidR="002C0F39">
        <w:t xml:space="preserve"> has had the </w:t>
      </w:r>
      <w:r w:rsidR="002C0F39">
        <w:rPr>
          <w:i/>
          <w:iCs/>
        </w:rPr>
        <w:t>University Date</w:t>
      </w:r>
      <w:r w:rsidR="002C0F39" w:rsidRPr="002C0F39">
        <w:t xml:space="preserve"> </w:t>
      </w:r>
      <w:r w:rsidR="002C0F39">
        <w:t>style applied to it. When viewed on the web</w:t>
      </w:r>
      <w:r w:rsidR="00B03120">
        <w:t xml:space="preserve"> a specific calendar date will be inserted in braces after the date string. The date will be based on the teaching period for the current course site.</w:t>
      </w:r>
    </w:p>
    <w:p w14:paraId="1CE7F131" w14:textId="77777777" w:rsidR="00313BFC" w:rsidRDefault="00526266" w:rsidP="00C87D90">
      <w:pPr>
        <w:pStyle w:val="Picture"/>
      </w:pPr>
      <w:r>
        <w:rPr>
          <w:noProof/>
        </w:rPr>
        <w:drawing>
          <wp:inline distT="0" distB="0" distL="0" distR="0" wp14:anchorId="0B8E12B9" wp14:editId="36ED09E7">
            <wp:extent cx="5731510" cy="29787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F85" w14:textId="01C1FFB2" w:rsidR="002F54AD" w:rsidRDefault="00313BFC" w:rsidP="00C87D90">
      <w:pPr>
        <w:pStyle w:val="Picture"/>
      </w:pPr>
      <w:bookmarkStart w:id="2" w:name="_Ref82170423"/>
      <w:r>
        <w:t xml:space="preserve">Figure </w:t>
      </w:r>
      <w:fldSimple w:instr=" SEQ Figure \* ARABIC ">
        <w:r w:rsidR="00032D2F">
          <w:rPr>
            <w:noProof/>
          </w:rPr>
          <w:t>13</w:t>
        </w:r>
      </w:fldSimple>
      <w:bookmarkEnd w:id="2"/>
      <w:r>
        <w:t xml:space="preserve"> - Examples of the University Date style as shown in Word</w:t>
      </w:r>
    </w:p>
    <w:p w14:paraId="64AF1D47" w14:textId="292AE991" w:rsidR="00356F9E" w:rsidRDefault="00AC73D0" w:rsidP="00AC73D0">
      <w:pPr>
        <w:pStyle w:val="Note"/>
      </w:pPr>
      <w:r>
        <w:rPr>
          <w:b/>
          <w:bCs/>
        </w:rPr>
        <w:t>Note</w:t>
      </w:r>
      <w:r w:rsidR="00DC4EB7" w:rsidRPr="00DC4EB7">
        <w:rPr>
          <w:b/>
          <w:bCs/>
        </w:rPr>
        <w:t>:</w:t>
      </w:r>
      <w:r w:rsidR="00DC4EB7">
        <w:rPr>
          <w:b/>
          <w:bCs/>
        </w:rPr>
        <w:t xml:space="preserve"> </w:t>
      </w:r>
      <w:r w:rsidR="00DC4EB7">
        <w:t xml:space="preserve">As shown in </w:t>
      </w:r>
      <w:r w:rsidR="00C87D90">
        <w:fldChar w:fldCharType="begin"/>
      </w:r>
      <w:r w:rsidR="00C87D90">
        <w:instrText xml:space="preserve"> REF _Ref82170423 \h </w:instrText>
      </w:r>
      <w:r w:rsidR="00C87D90">
        <w:fldChar w:fldCharType="separate"/>
      </w:r>
      <w:r w:rsidR="007C5235">
        <w:t xml:space="preserve">Figure </w:t>
      </w:r>
      <w:r w:rsidR="007C5235">
        <w:rPr>
          <w:noProof/>
        </w:rPr>
        <w:t>13</w:t>
      </w:r>
      <w:r w:rsidR="00C87D90">
        <w:fldChar w:fldCharType="end"/>
      </w:r>
      <w:r w:rsidR="00DC4EB7">
        <w:t xml:space="preserve">, there is some flexibility in </w:t>
      </w:r>
      <w:r w:rsidR="00356F9E">
        <w:t xml:space="preserve">how </w:t>
      </w:r>
      <w:r w:rsidR="00C87D90">
        <w:t>the date string is written. Flexibility includes:</w:t>
      </w:r>
    </w:p>
    <w:p w14:paraId="4785370D" w14:textId="29327BBB" w:rsidR="004D5181" w:rsidRDefault="004D5181" w:rsidP="00356F9E">
      <w:pPr>
        <w:pStyle w:val="Note"/>
        <w:numPr>
          <w:ilvl w:val="0"/>
          <w:numId w:val="45"/>
        </w:numPr>
      </w:pPr>
      <w:r>
        <w:t xml:space="preserve">the case (upper or lower) is used for the </w:t>
      </w:r>
      <w:proofErr w:type="gramStart"/>
      <w:r>
        <w:t>letters;</w:t>
      </w:r>
      <w:proofErr w:type="gramEnd"/>
    </w:p>
    <w:p w14:paraId="364A97F3" w14:textId="60E729E2" w:rsidR="00AC73D0" w:rsidRDefault="00356F9E" w:rsidP="00356F9E">
      <w:pPr>
        <w:pStyle w:val="Note"/>
        <w:numPr>
          <w:ilvl w:val="0"/>
          <w:numId w:val="45"/>
        </w:numPr>
      </w:pPr>
      <w:r>
        <w:t>the day is written</w:t>
      </w:r>
      <w:r w:rsidR="004D5181">
        <w:t xml:space="preserve"> (in full or abbreviated)</w:t>
      </w:r>
      <w:r w:rsidR="006B7B4C">
        <w:t>; and,</w:t>
      </w:r>
    </w:p>
    <w:p w14:paraId="1F3EABA1" w14:textId="45ACFF13" w:rsidR="006B7B4C" w:rsidRDefault="006B7B4C" w:rsidP="00356F9E">
      <w:pPr>
        <w:pStyle w:val="Note"/>
        <w:numPr>
          <w:ilvl w:val="0"/>
          <w:numId w:val="45"/>
        </w:numPr>
      </w:pPr>
      <w:r>
        <w:t xml:space="preserve">how the day and week are separate (by a space; by the word </w:t>
      </w:r>
      <w:r>
        <w:rPr>
          <w:i/>
          <w:iCs/>
        </w:rPr>
        <w:t>of</w:t>
      </w:r>
      <w:r>
        <w:t>, or by a</w:t>
      </w:r>
      <w:r w:rsidR="002C6118">
        <w:t xml:space="preserve">: </w:t>
      </w:r>
      <w:r>
        <w:t>comma</w:t>
      </w:r>
      <w:r w:rsidR="002C6118">
        <w:t xml:space="preserve">, semi-colon, colon, </w:t>
      </w:r>
      <w:proofErr w:type="gramStart"/>
      <w:r w:rsidR="002C6118">
        <w:t>hyphen</w:t>
      </w:r>
      <w:proofErr w:type="gramEnd"/>
      <w:r w:rsidR="002C6118">
        <w:t xml:space="preserve"> or dash</w:t>
      </w:r>
      <w:r>
        <w:t>)</w:t>
      </w:r>
    </w:p>
    <w:p w14:paraId="18C26554" w14:textId="3C0C9B22" w:rsidR="00257DBE" w:rsidRDefault="00257DBE" w:rsidP="00281785">
      <w:pPr>
        <w:pStyle w:val="Heading3"/>
      </w:pPr>
      <w:r>
        <w:lastRenderedPageBreak/>
        <w:t>What it looks like on the Web</w:t>
      </w:r>
    </w:p>
    <w:p w14:paraId="4CAA5EEB" w14:textId="77777777" w:rsidR="002C0F39" w:rsidRDefault="00257DBE" w:rsidP="002C0F39">
      <w:pPr>
        <w:pStyle w:val="Picture"/>
      </w:pPr>
      <w:r>
        <w:rPr>
          <w:noProof/>
        </w:rPr>
        <w:drawing>
          <wp:inline distT="0" distB="0" distL="0" distR="0" wp14:anchorId="0916716B" wp14:editId="3848321F">
            <wp:extent cx="5731510" cy="43726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DE21" w14:textId="74537F8D" w:rsidR="002F54AD" w:rsidRDefault="002C0F39" w:rsidP="00A94B97">
      <w:pPr>
        <w:pStyle w:val="Picture"/>
      </w:pPr>
      <w:r>
        <w:t xml:space="preserve">Figure </w:t>
      </w:r>
      <w:fldSimple w:instr=" SEQ Figure \* ARABIC ">
        <w:r w:rsidR="00032D2F">
          <w:rPr>
            <w:noProof/>
          </w:rPr>
          <w:t>14</w:t>
        </w:r>
      </w:fldSimple>
      <w:r>
        <w:t xml:space="preserve"> - What examples of the University Date style </w:t>
      </w:r>
      <w:r w:rsidR="00C87D90">
        <w:t xml:space="preserve">from </w:t>
      </w:r>
      <w:r w:rsidR="00C87D90">
        <w:fldChar w:fldCharType="begin"/>
      </w:r>
      <w:r w:rsidR="00C87D90">
        <w:instrText xml:space="preserve"> REF _Ref82170423 \h </w:instrText>
      </w:r>
      <w:r w:rsidR="00C87D90">
        <w:fldChar w:fldCharType="separate"/>
      </w:r>
      <w:r w:rsidR="007C5235">
        <w:t xml:space="preserve">Figure </w:t>
      </w:r>
      <w:r w:rsidR="007C5235">
        <w:rPr>
          <w:noProof/>
        </w:rPr>
        <w:t>13</w:t>
      </w:r>
      <w:r w:rsidR="00C87D90">
        <w:fldChar w:fldCharType="end"/>
      </w:r>
      <w:r w:rsidR="00C87D90">
        <w:t xml:space="preserve"> </w:t>
      </w:r>
      <w:r>
        <w:t>look like on the Web</w:t>
      </w:r>
    </w:p>
    <w:p w14:paraId="7BB54858" w14:textId="253DD680" w:rsidR="00731E85" w:rsidRDefault="00731E85" w:rsidP="00742596">
      <w:pPr>
        <w:pStyle w:val="Heading2"/>
      </w:pPr>
      <w:r>
        <w:t>How to do it</w:t>
      </w:r>
    </w:p>
    <w:p w14:paraId="3BAEDE98" w14:textId="06F59928" w:rsidR="00731E85" w:rsidRDefault="009833AC" w:rsidP="009833AC">
      <w:pPr>
        <w:pStyle w:val="ListParagraph"/>
        <w:numPr>
          <w:ilvl w:val="0"/>
          <w:numId w:val="39"/>
        </w:numPr>
      </w:pPr>
      <w:r>
        <w:t xml:space="preserve">Write out the date using </w:t>
      </w:r>
      <w:r w:rsidR="0067551D">
        <w:t xml:space="preserve">the format </w:t>
      </w:r>
      <w:r w:rsidR="00626E3E">
        <w:t>-</w:t>
      </w:r>
      <w:r w:rsidR="0067551D">
        <w:t xml:space="preserve">    </w:t>
      </w:r>
      <w:r w:rsidR="0067551D">
        <w:rPr>
          <w:i/>
          <w:iCs/>
        </w:rPr>
        <w:t>Day</w:t>
      </w:r>
      <w:r w:rsidR="0067551D" w:rsidRPr="00BD23D7">
        <w:t xml:space="preserve"> </w:t>
      </w:r>
      <w:r w:rsidR="0067551D">
        <w:t xml:space="preserve">Week </w:t>
      </w:r>
      <w:proofErr w:type="spellStart"/>
      <w:r w:rsidR="0067551D">
        <w:rPr>
          <w:i/>
          <w:iCs/>
        </w:rPr>
        <w:t>Num</w:t>
      </w:r>
      <w:r w:rsidR="00133C89">
        <w:rPr>
          <w:i/>
          <w:iCs/>
        </w:rPr>
        <w:t>Week</w:t>
      </w:r>
      <w:proofErr w:type="spellEnd"/>
      <w:r w:rsidR="00133C89" w:rsidRPr="00992294">
        <w:br/>
      </w:r>
      <w:r w:rsidR="00133C89">
        <w:t xml:space="preserve">Where </w:t>
      </w:r>
      <w:r w:rsidR="00133C89">
        <w:rPr>
          <w:i/>
          <w:iCs/>
        </w:rPr>
        <w:t>Day</w:t>
      </w:r>
      <w:r w:rsidR="00133C89" w:rsidRPr="008008FF">
        <w:t xml:space="preserve"> </w:t>
      </w:r>
      <w:r w:rsidR="00133C89">
        <w:t xml:space="preserve">is replaced by a day of the week (capitalisation not important) and </w:t>
      </w:r>
      <w:proofErr w:type="spellStart"/>
      <w:r w:rsidR="00133C89">
        <w:rPr>
          <w:i/>
          <w:iCs/>
        </w:rPr>
        <w:t>NumWeek</w:t>
      </w:r>
      <w:proofErr w:type="spellEnd"/>
      <w:r w:rsidR="00133C89" w:rsidRPr="00BD23D7">
        <w:t xml:space="preserve"> </w:t>
      </w:r>
      <w:r w:rsidR="00133C89">
        <w:t xml:space="preserve">is replaced by </w:t>
      </w:r>
      <w:r w:rsidR="00FF5878">
        <w:t>a number representing the week of the trimester/study period.</w:t>
      </w:r>
      <w:r w:rsidR="00626E3E">
        <w:br/>
      </w:r>
      <w:r w:rsidR="00626E3E" w:rsidRPr="0067551D">
        <w:t xml:space="preserve">e.g. </w:t>
      </w:r>
      <w:r w:rsidR="00626E3E">
        <w:t xml:space="preserve"> Thursday Week 4</w:t>
      </w:r>
      <w:r w:rsidR="00626E3E">
        <w:br/>
      </w:r>
    </w:p>
    <w:p w14:paraId="0765477E" w14:textId="20E2D056" w:rsidR="005E4935" w:rsidRDefault="00FF5878" w:rsidP="004D292D">
      <w:pPr>
        <w:pStyle w:val="ListParagraph"/>
        <w:numPr>
          <w:ilvl w:val="0"/>
          <w:numId w:val="39"/>
        </w:numPr>
      </w:pPr>
      <w:r>
        <w:t xml:space="preserve">Apply the </w:t>
      </w:r>
      <w:r>
        <w:rPr>
          <w:i/>
          <w:iCs/>
        </w:rPr>
        <w:t>University Date</w:t>
      </w:r>
      <w:r w:rsidRPr="00BD23D7">
        <w:t xml:space="preserve"> </w:t>
      </w:r>
      <w:r>
        <w:t xml:space="preserve">style to </w:t>
      </w:r>
      <w:r w:rsidR="00626E3E">
        <w:t>the date</w:t>
      </w:r>
      <w:r w:rsidR="0061036A">
        <w:t xml:space="preserve"> you wrote</w:t>
      </w:r>
      <w:r w:rsidR="00626E3E">
        <w:t xml:space="preserve">. </w:t>
      </w:r>
      <w:r w:rsidR="00626E3E">
        <w:br/>
      </w:r>
      <w:r w:rsidR="00832EDB">
        <w:t>In a Word document</w:t>
      </w:r>
      <w:r w:rsidR="005E4935">
        <w:t xml:space="preserve"> based on the right template</w:t>
      </w:r>
      <w:r w:rsidR="0061036A">
        <w:t>, the date text should be red in colour and use the Courier New fon</w:t>
      </w:r>
      <w:r w:rsidR="00D02FF9">
        <w:t xml:space="preserve">t. The change in </w:t>
      </w:r>
      <w:r w:rsidR="0014755F">
        <w:t>font and colour is intended to help you recognise the difference when editing the Word document.</w:t>
      </w:r>
    </w:p>
    <w:p w14:paraId="27942711" w14:textId="77777777" w:rsidR="005E4935" w:rsidRDefault="005E4935" w:rsidP="0069594D">
      <w:pPr>
        <w:pStyle w:val="Picture"/>
      </w:pPr>
      <w:r>
        <w:rPr>
          <w:noProof/>
        </w:rPr>
        <w:drawing>
          <wp:inline distT="0" distB="0" distL="0" distR="0" wp14:anchorId="543B00E0" wp14:editId="24A2DD64">
            <wp:extent cx="5731510" cy="1022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9043" w14:textId="40897ACD" w:rsidR="005E4935" w:rsidRDefault="005E4935" w:rsidP="0069594D">
      <w:pPr>
        <w:pStyle w:val="Picture"/>
      </w:pPr>
      <w:r>
        <w:t xml:space="preserve">Figure </w:t>
      </w:r>
      <w:r w:rsidR="00487C07">
        <w:fldChar w:fldCharType="begin"/>
      </w:r>
      <w:r w:rsidR="00487C07">
        <w:instrText xml:space="preserve"> SEQ Figure \* ARABIC </w:instrText>
      </w:r>
      <w:r w:rsidR="00487C07">
        <w:fldChar w:fldCharType="separate"/>
      </w:r>
      <w:r w:rsidR="00032D2F">
        <w:rPr>
          <w:noProof/>
        </w:rPr>
        <w:t>15</w:t>
      </w:r>
      <w:r w:rsidR="00487C07">
        <w:rPr>
          <w:noProof/>
        </w:rPr>
        <w:fldChar w:fldCharType="end"/>
      </w:r>
      <w:r>
        <w:t xml:space="preserve"> - What it looks like in Word</w:t>
      </w:r>
    </w:p>
    <w:p w14:paraId="50AB2E54" w14:textId="6F3035FD" w:rsidR="00A31958" w:rsidRDefault="00D02FF9" w:rsidP="005E4935">
      <w:r>
        <w:br/>
      </w:r>
    </w:p>
    <w:p w14:paraId="227E57F4" w14:textId="38201740" w:rsidR="001C7FB1" w:rsidRDefault="001C7FB1" w:rsidP="001C7FB1">
      <w:pPr>
        <w:pStyle w:val="Heading1"/>
      </w:pPr>
      <w:r>
        <w:lastRenderedPageBreak/>
        <w:t>Film Watch Options</w:t>
      </w:r>
    </w:p>
    <w:p w14:paraId="40E302F9" w14:textId="30A93501" w:rsidR="00E97E61" w:rsidRDefault="0005008D" w:rsidP="001C7FB1">
      <w:r>
        <w:t xml:space="preserve">In a small number of courses learners are required to watch numerous films. </w:t>
      </w:r>
      <w:r w:rsidR="004652DC">
        <w:t xml:space="preserve">The Griffith University Library provides </w:t>
      </w:r>
      <w:hyperlink r:id="rId27" w:anchor="resources-for-teaching" w:history="1">
        <w:r w:rsidR="004652DC" w:rsidRPr="004652DC">
          <w:rPr>
            <w:rStyle w:val="Hyperlink"/>
          </w:rPr>
          <w:t>methods by which learning resources</w:t>
        </w:r>
      </w:hyperlink>
      <w:r w:rsidR="004652DC">
        <w:t xml:space="preserve"> – such as films – can be sourced for use in courses.</w:t>
      </w:r>
      <w:r w:rsidR="00A20A54">
        <w:t xml:space="preserve"> </w:t>
      </w:r>
    </w:p>
    <w:p w14:paraId="74156755" w14:textId="77777777" w:rsidR="00A349F1" w:rsidRDefault="00E97E61" w:rsidP="001C7FB1">
      <w:r>
        <w:rPr>
          <w:b/>
          <w:bCs/>
        </w:rPr>
        <w:t>Problems:</w:t>
      </w:r>
      <w:r w:rsidRPr="00A42C8F">
        <w:t xml:space="preserve"> </w:t>
      </w:r>
      <w:r w:rsidR="00511AC2">
        <w:t xml:space="preserve">While many films can be provided to students to watch online, not all of them can. </w:t>
      </w:r>
      <w:r w:rsidR="00C06A0D">
        <w:t>The variability of what can be pr</w:t>
      </w:r>
      <w:r w:rsidR="00A22295">
        <w:t>ovided complicates that task of explaining to learners what films to watch and how.</w:t>
      </w:r>
      <w:r>
        <w:t xml:space="preserve"> </w:t>
      </w:r>
      <w:r w:rsidR="00511AC2">
        <w:t>it also means that as films become available to watch online, the course writer needs to remember wh</w:t>
      </w:r>
      <w:r w:rsidR="00A349F1">
        <w:t>at online materials need to be updated.</w:t>
      </w:r>
    </w:p>
    <w:p w14:paraId="721A750C" w14:textId="77777777" w:rsidR="008C7378" w:rsidRDefault="004F5B07" w:rsidP="001C7FB1">
      <w:r>
        <w:t xml:space="preserve">The </w:t>
      </w:r>
      <w:r>
        <w:rPr>
          <w:i/>
          <w:iCs/>
        </w:rPr>
        <w:t>Film Watch Options</w:t>
      </w:r>
      <w:r>
        <w:t xml:space="preserve"> functionality </w:t>
      </w:r>
      <w:r w:rsidR="00E97E61">
        <w:t xml:space="preserve">aims to </w:t>
      </w:r>
      <w:r w:rsidR="00A349F1">
        <w:t xml:space="preserve">semi-automate and </w:t>
      </w:r>
      <w:r w:rsidR="00E97E61">
        <w:t>simplify this process</w:t>
      </w:r>
      <w:r w:rsidR="00A349F1">
        <w:t>.</w:t>
      </w:r>
      <w:r w:rsidR="00E54189">
        <w:t xml:space="preserve"> Instead of manually updating course content,</w:t>
      </w:r>
      <w:r w:rsidR="008C7378">
        <w:t xml:space="preserve"> there are three steps:</w:t>
      </w:r>
    </w:p>
    <w:p w14:paraId="60A35226" w14:textId="6EA2F7C3" w:rsidR="008C7378" w:rsidRDefault="008C7378" w:rsidP="008C7378">
      <w:pPr>
        <w:pStyle w:val="ListParagraph"/>
        <w:numPr>
          <w:ilvl w:val="0"/>
          <w:numId w:val="47"/>
        </w:numPr>
      </w:pPr>
      <w:r>
        <w:t>Preparation.</w:t>
      </w:r>
      <w:r>
        <w:br/>
        <w:t>A</w:t>
      </w:r>
      <w:r w:rsidR="00E54189">
        <w:t xml:space="preserve"> </w:t>
      </w:r>
      <w:r w:rsidR="000970D1">
        <w:t xml:space="preserve">CSV file is maintained that matches the name of a film with the URL where </w:t>
      </w:r>
      <w:r>
        <w:t>the film is available. An empty URL indicates a film that’s not available.</w:t>
      </w:r>
      <w:r w:rsidR="005B2DB7">
        <w:t xml:space="preserve"> As URLs change, this file is updated.</w:t>
      </w:r>
    </w:p>
    <w:p w14:paraId="11730783" w14:textId="29058546" w:rsidR="00A22295" w:rsidRDefault="008C7378" w:rsidP="008C7378">
      <w:pPr>
        <w:pStyle w:val="ListParagraph"/>
        <w:numPr>
          <w:ilvl w:val="0"/>
          <w:numId w:val="47"/>
        </w:numPr>
      </w:pPr>
      <w:r>
        <w:t>Authoring.</w:t>
      </w:r>
      <w:r>
        <w:br/>
      </w:r>
      <w:r w:rsidR="005B2DB7">
        <w:t xml:space="preserve">In content, rather than embedding the specific URL for a film, you write the film’s name and apply the </w:t>
      </w:r>
      <w:r w:rsidR="005B2DB7">
        <w:rPr>
          <w:i/>
          <w:iCs/>
        </w:rPr>
        <w:t>Film Watch Options</w:t>
      </w:r>
      <w:r w:rsidR="005B2DB7">
        <w:t xml:space="preserve"> style.</w:t>
      </w:r>
    </w:p>
    <w:p w14:paraId="53D69888" w14:textId="5F702CD9" w:rsidR="005B2DB7" w:rsidRDefault="005B2DB7" w:rsidP="008C7378">
      <w:pPr>
        <w:pStyle w:val="ListParagraph"/>
        <w:numPr>
          <w:ilvl w:val="0"/>
          <w:numId w:val="47"/>
        </w:numPr>
      </w:pPr>
      <w:r>
        <w:t>Viewing.</w:t>
      </w:r>
      <w:r>
        <w:br/>
        <w:t>When the content is viewed on the web</w:t>
      </w:r>
      <w:r w:rsidR="008E20C0">
        <w:t xml:space="preserve">, the film’s name is recognised, the data file is consulted to find where it is available, and </w:t>
      </w:r>
      <w:r w:rsidR="009F0AE8">
        <w:t>the film’s name is replaced with the current location specific information.</w:t>
      </w:r>
    </w:p>
    <w:p w14:paraId="12BB0967" w14:textId="77777777" w:rsidR="00996153" w:rsidRPr="00996153" w:rsidRDefault="00996153" w:rsidP="00996153">
      <w:pPr>
        <w:pStyle w:val="Note"/>
        <w:rPr>
          <w:b/>
          <w:bCs/>
        </w:rPr>
      </w:pPr>
      <w:r w:rsidRPr="00996153">
        <w:rPr>
          <w:b/>
          <w:bCs/>
        </w:rPr>
        <w:t xml:space="preserve">Watching via Griffith University </w:t>
      </w:r>
    </w:p>
    <w:p w14:paraId="6D755DD1" w14:textId="24CE8F93" w:rsidR="00996153" w:rsidRDefault="00996153" w:rsidP="00996153">
      <w:pPr>
        <w:pStyle w:val="Note"/>
      </w:pPr>
      <w:r>
        <w:t>The options to watch the following films are provided via Griffith University. Hence are only available to students and staff of that university.</w:t>
      </w:r>
    </w:p>
    <w:p w14:paraId="1F45D2AB" w14:textId="76D89DC1" w:rsidR="00996153" w:rsidRDefault="00996153" w:rsidP="00281785">
      <w:pPr>
        <w:pStyle w:val="Heading3"/>
      </w:pPr>
      <w:r>
        <w:t>What is looks like in Word</w:t>
      </w:r>
    </w:p>
    <w:p w14:paraId="2B2E4FE1" w14:textId="160F945F" w:rsidR="002868DF" w:rsidRDefault="002868DF" w:rsidP="002868DF">
      <w:r>
        <w:t xml:space="preserve">As shown in </w:t>
      </w:r>
      <w:r w:rsidR="00286C22">
        <w:fldChar w:fldCharType="begin"/>
      </w:r>
      <w:r w:rsidR="00286C22">
        <w:instrText xml:space="preserve"> REF _Ref82168883 \h </w:instrText>
      </w:r>
      <w:r w:rsidR="00286C22"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 w:rsidR="00286C22">
        <w:fldChar w:fldCharType="end"/>
      </w:r>
      <w:r>
        <w:t>, there is just a list of film names. The film names must:</w:t>
      </w:r>
    </w:p>
    <w:p w14:paraId="6F28EB1F" w14:textId="1DA04155" w:rsidR="002868DF" w:rsidRPr="000E6AD7" w:rsidRDefault="002868DF" w:rsidP="002868DF">
      <w:pPr>
        <w:pStyle w:val="ListParagraph"/>
        <w:numPr>
          <w:ilvl w:val="0"/>
          <w:numId w:val="48"/>
        </w:numPr>
        <w:rPr>
          <w:i/>
          <w:iCs/>
        </w:rPr>
      </w:pPr>
      <w:r>
        <w:t xml:space="preserve">Have the </w:t>
      </w:r>
      <w:r>
        <w:rPr>
          <w:i/>
          <w:iCs/>
        </w:rPr>
        <w:t>film watch options</w:t>
      </w:r>
      <w:r>
        <w:t xml:space="preserve"> style applied.</w:t>
      </w:r>
      <w:r>
        <w:br/>
      </w:r>
      <w:r w:rsidR="000F1E76">
        <w:t xml:space="preserve">Indicated by the </w:t>
      </w:r>
      <w:r>
        <w:t xml:space="preserve">green italics </w:t>
      </w:r>
      <w:r w:rsidR="000F1E76">
        <w:t xml:space="preserve">style </w:t>
      </w:r>
      <w:r w:rsidR="000E6AD7">
        <w:t xml:space="preserve">as shown in </w:t>
      </w:r>
      <w:r w:rsidR="000E6AD7">
        <w:fldChar w:fldCharType="begin"/>
      </w:r>
      <w:r w:rsidR="000E6AD7">
        <w:instrText xml:space="preserve"> REF _Ref82168883 \h </w:instrText>
      </w:r>
      <w:r w:rsidR="000E6AD7"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 w:rsidR="000E6AD7">
        <w:fldChar w:fldCharType="end"/>
      </w:r>
      <w:r w:rsidR="000E6AD7">
        <w:t>.</w:t>
      </w:r>
    </w:p>
    <w:p w14:paraId="1FA41C1C" w14:textId="78180323" w:rsidR="000E6AD7" w:rsidRPr="00E12C9C" w:rsidRDefault="000E6AD7" w:rsidP="002868DF">
      <w:pPr>
        <w:pStyle w:val="ListParagraph"/>
        <w:numPr>
          <w:ilvl w:val="0"/>
          <w:numId w:val="48"/>
        </w:numPr>
        <w:rPr>
          <w:i/>
          <w:iCs/>
        </w:rPr>
      </w:pPr>
      <w:r>
        <w:t>Be separated by some content in another style.</w:t>
      </w:r>
      <w:r>
        <w:br/>
      </w:r>
      <w:r w:rsidR="00B65F03">
        <w:t xml:space="preserve">A list of film names one after the other all in the Film Watch Options style will be treated as single long film name. In </w:t>
      </w:r>
      <w:r w:rsidR="00B65F03">
        <w:fldChar w:fldCharType="begin"/>
      </w:r>
      <w:r w:rsidR="00B65F03">
        <w:instrText xml:space="preserve"> REF _Ref82168883 \h </w:instrText>
      </w:r>
      <w:r w:rsidR="00B65F03"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 w:rsidR="00B65F03">
        <w:fldChar w:fldCharType="end"/>
      </w:r>
      <w:r w:rsidR="00B65F03">
        <w:t xml:space="preserve"> t</w:t>
      </w:r>
      <w:r w:rsidR="00242DD2">
        <w:t>he Film Watch Options style is separate by bolded text using the Normal style.</w:t>
      </w:r>
    </w:p>
    <w:p w14:paraId="20524AC9" w14:textId="77777777" w:rsidR="00E12C9C" w:rsidRPr="00E12C9C" w:rsidRDefault="00E12C9C" w:rsidP="00E12C9C">
      <w:pPr>
        <w:rPr>
          <w:i/>
          <w:iCs/>
        </w:rPr>
      </w:pPr>
    </w:p>
    <w:p w14:paraId="3C5C6972" w14:textId="77777777" w:rsidR="000F1E76" w:rsidRDefault="002868DF" w:rsidP="000F1E76">
      <w:pPr>
        <w:pStyle w:val="Picture"/>
      </w:pPr>
      <w:r>
        <w:rPr>
          <w:noProof/>
        </w:rPr>
        <w:lastRenderedPageBreak/>
        <w:drawing>
          <wp:inline distT="0" distB="0" distL="0" distR="0" wp14:anchorId="2D1CB224" wp14:editId="40EAE805">
            <wp:extent cx="36671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DF4" w14:textId="093F91D4" w:rsidR="00CD5457" w:rsidRDefault="000F1E76" w:rsidP="000F1E76">
      <w:pPr>
        <w:pStyle w:val="Picture"/>
      </w:pPr>
      <w:bookmarkStart w:id="3" w:name="_Ref82168883"/>
      <w:bookmarkStart w:id="4" w:name="_Ref82168875"/>
      <w:r>
        <w:t xml:space="preserve">Figure </w:t>
      </w:r>
      <w:fldSimple w:instr=" SEQ Figure \* ARABIC ">
        <w:r w:rsidR="00032D2F">
          <w:rPr>
            <w:noProof/>
          </w:rPr>
          <w:t>16</w:t>
        </w:r>
      </w:fldSimple>
      <w:bookmarkEnd w:id="3"/>
      <w:r>
        <w:t xml:space="preserve"> - Film Watch Options in Word</w:t>
      </w:r>
      <w:bookmarkEnd w:id="4"/>
    </w:p>
    <w:p w14:paraId="4AF8E473" w14:textId="3E85F9E3" w:rsidR="00242DD2" w:rsidRDefault="00242DD2" w:rsidP="00281785">
      <w:pPr>
        <w:pStyle w:val="Heading3"/>
      </w:pPr>
      <w:r>
        <w:t>What is looks link on the Web</w:t>
      </w:r>
    </w:p>
    <w:p w14:paraId="5636756D" w14:textId="1A990242" w:rsidR="00874366" w:rsidRDefault="00685C55" w:rsidP="00B11100">
      <w:r>
        <w:t>E</w:t>
      </w:r>
      <w:r w:rsidR="00D55258">
        <w:t xml:space="preserve">ach film </w:t>
      </w:r>
      <w:r w:rsidR="003C49AE">
        <w:t>is represented differently depending on if and how the video is available. For example,</w:t>
      </w:r>
      <w:r>
        <w:t xml:space="preserve"> the films in </w:t>
      </w:r>
      <w:r>
        <w:fldChar w:fldCharType="begin"/>
      </w:r>
      <w:r>
        <w:instrText xml:space="preserve"> REF _Ref82168883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>
        <w:fldChar w:fldCharType="end"/>
      </w:r>
      <w:r w:rsidR="00670FA1">
        <w:t xml:space="preserve"> are represented as follows</w:t>
      </w:r>
      <w:r w:rsidR="00874366">
        <w:t>.</w:t>
      </w:r>
    </w:p>
    <w:p w14:paraId="049964AE" w14:textId="5F66E6DF" w:rsidR="00670FA1" w:rsidRDefault="00670FA1" w:rsidP="00670FA1">
      <w:pPr>
        <w:pStyle w:val="Heading3"/>
      </w:pPr>
      <w:r>
        <w:t>Rear Window</w:t>
      </w:r>
    </w:p>
    <w:p w14:paraId="09B3EDD4" w14:textId="2372B137" w:rsidR="00670FA1" w:rsidRDefault="00874366" w:rsidP="00670FA1">
      <w:r>
        <w:t xml:space="preserve">In this example, </w:t>
      </w:r>
      <w:r>
        <w:rPr>
          <w:i/>
          <w:iCs/>
        </w:rPr>
        <w:t>Rear Window</w:t>
      </w:r>
      <w:r>
        <w:t xml:space="preserve"> was available via the </w:t>
      </w:r>
      <w:proofErr w:type="spellStart"/>
      <w:r>
        <w:t>Kanopy</w:t>
      </w:r>
      <w:proofErr w:type="spellEnd"/>
      <w:r>
        <w:t xml:space="preserve"> service. </w:t>
      </w:r>
      <w:proofErr w:type="spellStart"/>
      <w:r>
        <w:t>Kanopy</w:t>
      </w:r>
      <w:proofErr w:type="spellEnd"/>
      <w:r>
        <w:t xml:space="preserve"> provides a link, but not an easily calculated embeddable video player.</w:t>
      </w:r>
      <w:r w:rsidR="001B5D56">
        <w:t xml:space="preserve"> Hence </w:t>
      </w:r>
      <w:r w:rsidR="001B5D56">
        <w:fldChar w:fldCharType="begin"/>
      </w:r>
      <w:r w:rsidR="001B5D56">
        <w:instrText xml:space="preserve"> REF _Ref82169316 \h </w:instrText>
      </w:r>
      <w:r w:rsidR="001B5D56">
        <w:fldChar w:fldCharType="separate"/>
      </w:r>
      <w:r w:rsidR="007C5235">
        <w:t xml:space="preserve">Figure </w:t>
      </w:r>
      <w:r w:rsidR="007C5235">
        <w:rPr>
          <w:noProof/>
        </w:rPr>
        <w:t>17</w:t>
      </w:r>
      <w:r w:rsidR="001B5D56">
        <w:fldChar w:fldCharType="end"/>
      </w:r>
      <w:r w:rsidR="001B5D56">
        <w:t xml:space="preserve"> shows the bolded normal text of the film name</w:t>
      </w:r>
      <w:r w:rsidR="009F13EC">
        <w:t xml:space="preserve"> (which was written in the Word document shown in </w:t>
      </w:r>
      <w:r w:rsidR="009F13EC">
        <w:fldChar w:fldCharType="begin"/>
      </w:r>
      <w:r w:rsidR="009F13EC">
        <w:instrText xml:space="preserve"> REF _Ref82168883 \h </w:instrText>
      </w:r>
      <w:r w:rsidR="009F13EC">
        <w:fldChar w:fldCharType="separate"/>
      </w:r>
      <w:r w:rsidR="007C5235">
        <w:t xml:space="preserve">Figure </w:t>
      </w:r>
      <w:r w:rsidR="007C5235">
        <w:rPr>
          <w:noProof/>
        </w:rPr>
        <w:t>16</w:t>
      </w:r>
      <w:r w:rsidR="009F13EC">
        <w:fldChar w:fldCharType="end"/>
      </w:r>
      <w:r w:rsidR="009F13EC">
        <w:t xml:space="preserve">) and then a rounded box that contains the film name and a message with a link to </w:t>
      </w:r>
      <w:proofErr w:type="spellStart"/>
      <w:r w:rsidR="001369C0">
        <w:t>Kanopy</w:t>
      </w:r>
      <w:proofErr w:type="spellEnd"/>
      <w:r w:rsidR="001369C0">
        <w:t xml:space="preserve"> where the film can be viewed.</w:t>
      </w:r>
    </w:p>
    <w:p w14:paraId="3D832B01" w14:textId="77777777" w:rsidR="00DB62C5" w:rsidRDefault="00DB62C5" w:rsidP="00DB62C5">
      <w:pPr>
        <w:pStyle w:val="Picture"/>
      </w:pPr>
      <w:r>
        <w:rPr>
          <w:noProof/>
        </w:rPr>
        <w:drawing>
          <wp:inline distT="0" distB="0" distL="0" distR="0" wp14:anchorId="1D77ACF2" wp14:editId="1B56F299">
            <wp:extent cx="5731510" cy="1468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4EBC" w14:textId="4F76D21F" w:rsidR="00874366" w:rsidRPr="00874366" w:rsidRDefault="00DB62C5" w:rsidP="00DB62C5">
      <w:pPr>
        <w:pStyle w:val="Picture"/>
      </w:pPr>
      <w:bookmarkStart w:id="5" w:name="_Ref82169316"/>
      <w:r>
        <w:t xml:space="preserve">Figure </w:t>
      </w:r>
      <w:fldSimple w:instr=" SEQ Figure \* ARABIC ">
        <w:r w:rsidR="00032D2F">
          <w:rPr>
            <w:noProof/>
          </w:rPr>
          <w:t>17</w:t>
        </w:r>
      </w:fldSimple>
      <w:bookmarkEnd w:id="5"/>
      <w:r>
        <w:t xml:space="preserve"> - "Rear Window" as shown on the web</w:t>
      </w:r>
    </w:p>
    <w:p w14:paraId="5C5AF4AD" w14:textId="53737AD3" w:rsidR="00670FA1" w:rsidRDefault="00670FA1" w:rsidP="00670FA1">
      <w:pPr>
        <w:pStyle w:val="Heading3"/>
      </w:pPr>
      <w:r>
        <w:t>Shadow of a Doubt</w:t>
      </w:r>
    </w:p>
    <w:p w14:paraId="103BD1D6" w14:textId="1EBE5720" w:rsidR="00670FA1" w:rsidRPr="001369C0" w:rsidRDefault="001369C0" w:rsidP="00670FA1">
      <w:r>
        <w:rPr>
          <w:i/>
          <w:iCs/>
        </w:rPr>
        <w:t>Shadow of a Doubt</w:t>
      </w:r>
      <w:r>
        <w:t xml:space="preserve"> is available on the Internet Archive, which provides an embeddable video player. Hence, </w:t>
      </w:r>
      <w:r>
        <w:fldChar w:fldCharType="begin"/>
      </w:r>
      <w:r>
        <w:instrText xml:space="preserve"> REF _Ref82169420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18</w:t>
      </w:r>
      <w:r>
        <w:fldChar w:fldCharType="end"/>
      </w:r>
      <w:r>
        <w:t xml:space="preserve"> shows the film name (the bolded text in the Word doc) and the embeddable video player.</w:t>
      </w:r>
      <w:r w:rsidR="00B75A55">
        <w:t xml:space="preserve"> With the movie ready to play.</w:t>
      </w:r>
    </w:p>
    <w:p w14:paraId="2D59C193" w14:textId="77777777" w:rsidR="00DA2704" w:rsidRDefault="00DA2704" w:rsidP="00DA2704">
      <w:pPr>
        <w:pStyle w:val="Picture"/>
      </w:pPr>
      <w:r>
        <w:rPr>
          <w:noProof/>
        </w:rPr>
        <w:lastRenderedPageBreak/>
        <w:drawing>
          <wp:inline distT="0" distB="0" distL="0" distR="0" wp14:anchorId="62AD547C" wp14:editId="41A3F8F3">
            <wp:extent cx="5731510" cy="4921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054" w14:textId="46B32DCF" w:rsidR="00DA2704" w:rsidRDefault="00DA2704" w:rsidP="00DA2704">
      <w:pPr>
        <w:pStyle w:val="Picture"/>
      </w:pPr>
      <w:bookmarkStart w:id="6" w:name="_Ref82169420"/>
      <w:r>
        <w:t xml:space="preserve">Figure </w:t>
      </w:r>
      <w:fldSimple w:instr=" SEQ Figure \* ARABIC ">
        <w:r w:rsidR="00032D2F">
          <w:rPr>
            <w:noProof/>
          </w:rPr>
          <w:t>18</w:t>
        </w:r>
      </w:fldSimple>
      <w:bookmarkEnd w:id="6"/>
      <w:r>
        <w:t xml:space="preserve"> - "Shadow of a Doubt" as shown on the Web</w:t>
      </w:r>
    </w:p>
    <w:p w14:paraId="7A3C1916" w14:textId="5F7E7D2F" w:rsidR="00670FA1" w:rsidRDefault="00670FA1" w:rsidP="00670FA1">
      <w:pPr>
        <w:pStyle w:val="Heading3"/>
      </w:pPr>
      <w:r>
        <w:t>Lost in Translation</w:t>
      </w:r>
    </w:p>
    <w:p w14:paraId="6A580E6A" w14:textId="20F2BE7B" w:rsidR="00DA2704" w:rsidRDefault="00B75A55" w:rsidP="00670FA1">
      <w:r>
        <w:fldChar w:fldCharType="begin"/>
      </w:r>
      <w:r>
        <w:instrText xml:space="preserve"> REF _Ref82169453 \h </w:instrText>
      </w:r>
      <w:r>
        <w:fldChar w:fldCharType="separate"/>
      </w:r>
      <w:r w:rsidR="007C5235">
        <w:t xml:space="preserve">Figure </w:t>
      </w:r>
      <w:r w:rsidR="007C5235">
        <w:rPr>
          <w:noProof/>
        </w:rPr>
        <w:t>19</w:t>
      </w:r>
      <w:r>
        <w:fldChar w:fldCharType="end"/>
      </w:r>
      <w:r>
        <w:t xml:space="preserve"> illustrates when a film was not available. No URL was provided.</w:t>
      </w:r>
      <w:r w:rsidR="0047653F">
        <w:t xml:space="preserve"> As a default the Film Watch Options will generate a link to a search on the website </w:t>
      </w:r>
      <w:hyperlink r:id="rId31" w:history="1">
        <w:r w:rsidR="0047653F" w:rsidRPr="0047653F">
          <w:rPr>
            <w:rStyle w:val="Hyperlink"/>
          </w:rPr>
          <w:t>https://justwatch.com/au</w:t>
        </w:r>
      </w:hyperlink>
      <w:r w:rsidR="0047653F">
        <w:t>. This website provides a service that searches all the available online sources of film and TV</w:t>
      </w:r>
      <w:r w:rsidR="001D7B0A">
        <w:t xml:space="preserve"> (</w:t>
      </w:r>
      <w:proofErr w:type="gramStart"/>
      <w:r w:rsidR="001D7B0A">
        <w:t>e.g.</w:t>
      </w:r>
      <w:proofErr w:type="gramEnd"/>
      <w:r w:rsidR="001D7B0A">
        <w:t xml:space="preserve"> streaming services). This allows the student to discover if they can source the film themselves.</w:t>
      </w:r>
    </w:p>
    <w:p w14:paraId="1DFA85CE" w14:textId="77777777" w:rsidR="00DA2704" w:rsidRDefault="00DA2704" w:rsidP="00DA2704">
      <w:pPr>
        <w:pStyle w:val="Picture"/>
      </w:pPr>
      <w:r>
        <w:rPr>
          <w:noProof/>
        </w:rPr>
        <w:drawing>
          <wp:inline distT="0" distB="0" distL="0" distR="0" wp14:anchorId="1A7F6946" wp14:editId="6D2C9304">
            <wp:extent cx="5731510" cy="1717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3C35" w14:textId="7E97F59E" w:rsidR="00DA2704" w:rsidRPr="00670FA1" w:rsidRDefault="00DA2704" w:rsidP="00DA2704">
      <w:pPr>
        <w:pStyle w:val="Picture"/>
      </w:pPr>
      <w:bookmarkStart w:id="7" w:name="_Ref82169453"/>
      <w:r>
        <w:t xml:space="preserve">Figure </w:t>
      </w:r>
      <w:fldSimple w:instr=" SEQ Figure \* ARABIC ">
        <w:r w:rsidR="00032D2F">
          <w:rPr>
            <w:noProof/>
          </w:rPr>
          <w:t>19</w:t>
        </w:r>
      </w:fldSimple>
      <w:bookmarkEnd w:id="7"/>
      <w:r>
        <w:t xml:space="preserve"> - "Lost in Translation" as shown on the web</w:t>
      </w:r>
    </w:p>
    <w:p w14:paraId="1205E876" w14:textId="5CFC39DC" w:rsidR="005C105F" w:rsidRDefault="005C105F" w:rsidP="005C105F">
      <w:pPr>
        <w:pStyle w:val="Heading2"/>
      </w:pPr>
      <w:r>
        <w:t>How to do it</w:t>
      </w:r>
    </w:p>
    <w:p w14:paraId="32EFF237" w14:textId="4875FA8F" w:rsidR="00682CC7" w:rsidRDefault="005D4E37" w:rsidP="005D4E37">
      <w:r>
        <w:t>This process is reasonably complex</w:t>
      </w:r>
      <w:r w:rsidR="00032D2F">
        <w:t xml:space="preserve"> and still under development.</w:t>
      </w:r>
      <w:r w:rsidR="003D3D73">
        <w:t xml:space="preserve"> </w:t>
      </w:r>
      <w:hyperlink r:id="rId33" w:history="1">
        <w:r w:rsidR="00682CC7" w:rsidRPr="00682CC7">
          <w:rPr>
            <w:rStyle w:val="Hyperlink"/>
          </w:rPr>
          <w:t>Ask David Jones</w:t>
        </w:r>
      </w:hyperlink>
      <w:r w:rsidR="00682CC7">
        <w:t xml:space="preserve"> for </w:t>
      </w:r>
      <w:r w:rsidR="00682CC7">
        <w:lastRenderedPageBreak/>
        <w:t>assistance.</w:t>
      </w:r>
    </w:p>
    <w:p w14:paraId="4F815185" w14:textId="68E6F90D" w:rsidR="006E1793" w:rsidRDefault="006E1793" w:rsidP="006E1793">
      <w:pPr>
        <w:pStyle w:val="Note"/>
        <w:rPr>
          <w:b/>
          <w:bCs/>
        </w:rPr>
      </w:pPr>
      <w:r>
        <w:rPr>
          <w:b/>
          <w:bCs/>
        </w:rPr>
        <w:t>Griffith University</w:t>
      </w:r>
      <w:r w:rsidR="00503A4D">
        <w:rPr>
          <w:b/>
          <w:bCs/>
        </w:rPr>
        <w:t xml:space="preserve"> Specific</w:t>
      </w:r>
    </w:p>
    <w:p w14:paraId="4C5C29B0" w14:textId="38CAEB67" w:rsidR="006E1793" w:rsidRPr="006E1793" w:rsidRDefault="00503A4D" w:rsidP="006E1793">
      <w:pPr>
        <w:pStyle w:val="Note"/>
      </w:pPr>
      <w:r>
        <w:t>Some of the following information is Griffith University specific. Though it can be used at other institutions, there is a bit more work to do.</w:t>
      </w:r>
    </w:p>
    <w:p w14:paraId="71916A12" w14:textId="70374714" w:rsidR="005C105F" w:rsidRDefault="00DC53D3" w:rsidP="00DC53D3">
      <w:pPr>
        <w:pStyle w:val="Heading3"/>
      </w:pPr>
      <w:r>
        <w:t xml:space="preserve">Create and maintain </w:t>
      </w:r>
      <w:r w:rsidR="00521850">
        <w:t xml:space="preserve">a “film availability” </w:t>
      </w:r>
      <w:r>
        <w:t>spreadsheet</w:t>
      </w:r>
    </w:p>
    <w:p w14:paraId="09684A90" w14:textId="2EF765DC" w:rsidR="00DC53D3" w:rsidRDefault="005655E9" w:rsidP="005655E9">
      <w:pPr>
        <w:pStyle w:val="ListParagraph"/>
        <w:numPr>
          <w:ilvl w:val="0"/>
          <w:numId w:val="44"/>
        </w:numPr>
      </w:pPr>
      <w:r>
        <w:t xml:space="preserve">Download a copy of this </w:t>
      </w:r>
      <w:hyperlink r:id="rId34" w:history="1">
        <w:r w:rsidRPr="005655E9">
          <w:rPr>
            <w:rStyle w:val="Hyperlink"/>
            <w:i/>
            <w:iCs/>
          </w:rPr>
          <w:t>film availability</w:t>
        </w:r>
        <w:r w:rsidRPr="007C2AD7">
          <w:rPr>
            <w:rStyle w:val="Hyperlink"/>
          </w:rPr>
          <w:t xml:space="preserve"> </w:t>
        </w:r>
        <w:r w:rsidRPr="005655E9">
          <w:rPr>
            <w:rStyle w:val="Hyperlink"/>
          </w:rPr>
          <w:t>spreadsheet</w:t>
        </w:r>
      </w:hyperlink>
      <w:r>
        <w:t>.</w:t>
      </w:r>
    </w:p>
    <w:p w14:paraId="18315165" w14:textId="157ED9F6" w:rsidR="005655E9" w:rsidRDefault="005655E9" w:rsidP="005655E9">
      <w:pPr>
        <w:pStyle w:val="ListParagraph"/>
        <w:numPr>
          <w:ilvl w:val="0"/>
          <w:numId w:val="44"/>
        </w:numPr>
      </w:pPr>
      <w:r>
        <w:t>Save your copy to a network drive</w:t>
      </w:r>
      <w:r w:rsidR="00B01B53">
        <w:t xml:space="preserve"> (e.g. OneDrive, SharePoint).</w:t>
      </w:r>
    </w:p>
    <w:p w14:paraId="3E7C5C41" w14:textId="711A1417" w:rsidR="00B01B53" w:rsidRDefault="00B01B53" w:rsidP="005655E9">
      <w:pPr>
        <w:pStyle w:val="ListParagraph"/>
        <w:numPr>
          <w:ilvl w:val="0"/>
          <w:numId w:val="44"/>
        </w:numPr>
      </w:pPr>
      <w:r>
        <w:t>Maintain a list of all the films used</w:t>
      </w:r>
      <w:r w:rsidR="00F13B37">
        <w:t>, including if and how they are available online.</w:t>
      </w:r>
    </w:p>
    <w:p w14:paraId="1081B5E3" w14:textId="09A66842" w:rsidR="00032D2F" w:rsidRDefault="00032D2F" w:rsidP="00032D2F">
      <w:pPr>
        <w:pStyle w:val="Heading3"/>
      </w:pPr>
      <w:r>
        <w:t>Convert the spreadsheet to a JSON file</w:t>
      </w:r>
    </w:p>
    <w:p w14:paraId="4FFA6359" w14:textId="265C74A0" w:rsidR="00032D2F" w:rsidRDefault="00032D2F" w:rsidP="00032D2F">
      <w:r>
        <w:t xml:space="preserve">This </w:t>
      </w:r>
      <w:hyperlink r:id="rId35" w:history="1">
        <w:r w:rsidRPr="00032D2F">
          <w:rPr>
            <w:rStyle w:val="Hyperlink"/>
          </w:rPr>
          <w:t>online CSV to JSON service</w:t>
        </w:r>
      </w:hyperlink>
      <w:r>
        <w:t xml:space="preserve"> does a good job. To use it</w:t>
      </w:r>
    </w:p>
    <w:p w14:paraId="43F2D473" w14:textId="01F49284" w:rsidR="00032D2F" w:rsidRDefault="00032D2F" w:rsidP="00032D2F">
      <w:pPr>
        <w:pStyle w:val="ListParagraph"/>
        <w:numPr>
          <w:ilvl w:val="0"/>
          <w:numId w:val="49"/>
        </w:numPr>
      </w:pPr>
      <w:r>
        <w:t>Select and upload your CSV file.</w:t>
      </w:r>
    </w:p>
    <w:p w14:paraId="1EA5740C" w14:textId="43DEB0B8" w:rsidR="00032D2F" w:rsidRDefault="00032D2F" w:rsidP="00032D2F">
      <w:pPr>
        <w:pStyle w:val="ListParagraph"/>
        <w:numPr>
          <w:ilvl w:val="0"/>
          <w:numId w:val="49"/>
        </w:numPr>
      </w:pPr>
      <w:r>
        <w:t xml:space="preserve">In the </w:t>
      </w:r>
      <w:r>
        <w:rPr>
          <w:i/>
          <w:iCs/>
        </w:rPr>
        <w:t>Options</w:t>
      </w:r>
      <w:r>
        <w:t xml:space="preserve"> for conversion select the </w:t>
      </w:r>
      <w:r>
        <w:rPr>
          <w:b/>
          <w:bCs/>
        </w:rPr>
        <w:t>Hash</w:t>
      </w:r>
      <w:r>
        <w:t xml:space="preserve"> option, rather than the </w:t>
      </w:r>
      <w:r>
        <w:rPr>
          <w:i/>
          <w:iCs/>
        </w:rPr>
        <w:t>Array</w:t>
      </w:r>
      <w:r>
        <w:t xml:space="preserve"> option.</w:t>
      </w:r>
    </w:p>
    <w:p w14:paraId="64E43C59" w14:textId="2C040BBF" w:rsidR="00032D2F" w:rsidRDefault="00032D2F" w:rsidP="00032D2F">
      <w:pPr>
        <w:pStyle w:val="ListParagraph"/>
        <w:numPr>
          <w:ilvl w:val="0"/>
          <w:numId w:val="49"/>
        </w:numPr>
      </w:pPr>
      <w:r>
        <w:t xml:space="preserve">Hit </w:t>
      </w:r>
      <w:r>
        <w:rPr>
          <w:i/>
          <w:iCs/>
        </w:rPr>
        <w:t>Convert</w:t>
      </w:r>
      <w:r>
        <w:t xml:space="preserve"> and download a copy of the JSON file.</w:t>
      </w:r>
    </w:p>
    <w:p w14:paraId="324358E8" w14:textId="536BA3CC" w:rsidR="00032D2F" w:rsidRDefault="00032D2F" w:rsidP="00032D2F">
      <w:r>
        <w:fldChar w:fldCharType="begin"/>
      </w:r>
      <w:r>
        <w:instrText xml:space="preserve"> REF _Ref87416134 \h </w:instrText>
      </w:r>
      <w:r>
        <w:fldChar w:fldCharType="separate"/>
      </w:r>
      <w:r>
        <w:t xml:space="preserve">Figure </w:t>
      </w:r>
      <w:r>
        <w:rPr>
          <w:noProof/>
        </w:rPr>
        <w:t>20</w:t>
      </w:r>
      <w:r>
        <w:fldChar w:fldCharType="end"/>
      </w:r>
      <w:r>
        <w:t xml:space="preserve"> is a simple example of converting a single line CSV file.</w:t>
      </w:r>
    </w:p>
    <w:p w14:paraId="67764806" w14:textId="77777777" w:rsidR="00032D2F" w:rsidRDefault="00032D2F" w:rsidP="00032D2F">
      <w:pPr>
        <w:pStyle w:val="Picture"/>
      </w:pPr>
      <w:r w:rsidRPr="00032D2F">
        <w:drawing>
          <wp:inline distT="0" distB="0" distL="0" distR="0" wp14:anchorId="7A40EC60" wp14:editId="1D31EF73">
            <wp:extent cx="5731510" cy="2077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A460" w14:textId="1C24AAA1" w:rsidR="00032D2F" w:rsidRDefault="00032D2F" w:rsidP="00032D2F">
      <w:pPr>
        <w:pStyle w:val="Picture"/>
      </w:pPr>
      <w:bookmarkStart w:id="8" w:name="_Ref87416134"/>
      <w:r>
        <w:t xml:space="preserve">Figure </w:t>
      </w:r>
      <w:fldSimple w:instr=" SEQ Figure \* ARABIC ">
        <w:r>
          <w:rPr>
            <w:noProof/>
          </w:rPr>
          <w:t>20</w:t>
        </w:r>
      </w:fldSimple>
      <w:bookmarkEnd w:id="8"/>
      <w:r>
        <w:t xml:space="preserve"> - Sample CSV to JSON conversion</w:t>
      </w:r>
    </w:p>
    <w:p w14:paraId="491D588B" w14:textId="694ACC3E" w:rsidR="00032D2F" w:rsidRDefault="00032D2F" w:rsidP="00032D2F">
      <w:pPr>
        <w:pStyle w:val="Heading3"/>
      </w:pPr>
      <w:r>
        <w:t>Upload the JSON file to your course's content collection</w:t>
      </w:r>
    </w:p>
    <w:p w14:paraId="758A5A0F" w14:textId="54C77765" w:rsidR="00032D2F" w:rsidRDefault="00032D2F" w:rsidP="00032D2F">
      <w:r>
        <w:t xml:space="preserve">The JSON file must be on the web and accessible. The best place for that is </w:t>
      </w:r>
      <w:hyperlink r:id="rId37" w:history="1">
        <w:r w:rsidRPr="00032D2F">
          <w:rPr>
            <w:rStyle w:val="Hyperlink"/>
          </w:rPr>
          <w:t>the Blackboard Content Collection</w:t>
        </w:r>
      </w:hyperlink>
      <w:r>
        <w:t>.</w:t>
      </w:r>
    </w:p>
    <w:p w14:paraId="01E1403D" w14:textId="7D1B9B80" w:rsidR="00032D2F" w:rsidRDefault="00032D2F" w:rsidP="00032D2F">
      <w:r>
        <w:t>Obtain a permanent URL for the file you uploaded.</w:t>
      </w:r>
    </w:p>
    <w:p w14:paraId="272980ED" w14:textId="100AB2A9" w:rsidR="00032D2F" w:rsidRDefault="00032D2F" w:rsidP="00032D2F">
      <w:pPr>
        <w:pStyle w:val="Heading3"/>
      </w:pPr>
      <w:r>
        <w:t xml:space="preserve">Modify each Blackboard page using </w:t>
      </w:r>
      <w:r>
        <w:rPr>
          <w:i/>
          <w:iCs/>
        </w:rPr>
        <w:t>film watch options</w:t>
      </w:r>
    </w:p>
    <w:p w14:paraId="70E057D6" w14:textId="47B60751" w:rsidR="00032D2F" w:rsidRDefault="00032D2F" w:rsidP="00032D2F">
      <w:r>
        <w:t xml:space="preserve">Add a web link named </w:t>
      </w:r>
      <w:r>
        <w:rPr>
          <w:i/>
          <w:iCs/>
        </w:rPr>
        <w:t>film watch options data</w:t>
      </w:r>
      <w:r>
        <w:t xml:space="preserve"> that is the permanent URL for the JSON file.</w:t>
      </w:r>
    </w:p>
    <w:p w14:paraId="52EEA340" w14:textId="6FD32578" w:rsidR="00032D2F" w:rsidRDefault="0063474B" w:rsidP="00032D2F">
      <w:r>
        <w:rPr>
          <w:rFonts w:ascii="Times New Roman" w:eastAsia="Times New Roman" w:hAnsi="Times New Roman" w:cs="Times New Roman"/>
          <w:lang w:eastAsia="en-AU" w:bidi="ar-SA"/>
        </w:rPr>
        <w:t>The Content Interface takes over from here.</w:t>
      </w:r>
    </w:p>
    <w:p w14:paraId="2E6D7AA4" w14:textId="77777777" w:rsidR="00032D2F" w:rsidRPr="00032D2F" w:rsidRDefault="00032D2F" w:rsidP="00032D2F"/>
    <w:sectPr w:rsidR="00032D2F" w:rsidRPr="0003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>
      <wne:acd wne:acdName="acd0"/>
    </wne:keymap>
  </wne:keymaps>
  <wne:toolbars>
    <wne:acdManifest>
      <wne:acdEntry wne:acdName="acd0"/>
    </wne:acdManifest>
  </wne:toolbars>
  <wne:acds>
    <wne:acd wne:argValue="AgBBAHMAaQBkAGU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0D63D" w14:textId="77777777" w:rsidR="00487C07" w:rsidRDefault="00487C07" w:rsidP="00997E1F">
      <w:pPr>
        <w:spacing w:after="0"/>
      </w:pPr>
      <w:r>
        <w:separator/>
      </w:r>
    </w:p>
  </w:endnote>
  <w:endnote w:type="continuationSeparator" w:id="0">
    <w:p w14:paraId="6C694C3A" w14:textId="77777777" w:rsidR="00487C07" w:rsidRDefault="00487C07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DF929" w14:textId="77777777" w:rsidR="00487C07" w:rsidRDefault="00487C07" w:rsidP="00997E1F">
      <w:pPr>
        <w:spacing w:after="0"/>
      </w:pPr>
      <w:r>
        <w:separator/>
      </w:r>
    </w:p>
  </w:footnote>
  <w:footnote w:type="continuationSeparator" w:id="0">
    <w:p w14:paraId="5E5A2146" w14:textId="77777777" w:rsidR="00487C07" w:rsidRDefault="00487C07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304D1"/>
    <w:multiLevelType w:val="hybridMultilevel"/>
    <w:tmpl w:val="885814C6"/>
    <w:lvl w:ilvl="0" w:tplc="B53C60F8">
      <w:start w:val="4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02C71"/>
    <w:multiLevelType w:val="hybridMultilevel"/>
    <w:tmpl w:val="431020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F1D86"/>
    <w:multiLevelType w:val="hybridMultilevel"/>
    <w:tmpl w:val="75D631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026C37"/>
    <w:multiLevelType w:val="hybridMultilevel"/>
    <w:tmpl w:val="A42CA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707D6"/>
    <w:multiLevelType w:val="hybridMultilevel"/>
    <w:tmpl w:val="8BAE0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E7AEC"/>
    <w:multiLevelType w:val="hybridMultilevel"/>
    <w:tmpl w:val="B3CADF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D5BB2"/>
    <w:multiLevelType w:val="hybridMultilevel"/>
    <w:tmpl w:val="A33265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0"/>
  </w:num>
  <w:num w:numId="4">
    <w:abstractNumId w:val="5"/>
  </w:num>
  <w:num w:numId="5">
    <w:abstractNumId w:val="29"/>
  </w:num>
  <w:num w:numId="6">
    <w:abstractNumId w:val="34"/>
  </w:num>
  <w:num w:numId="7">
    <w:abstractNumId w:val="21"/>
  </w:num>
  <w:num w:numId="8">
    <w:abstractNumId w:val="4"/>
  </w:num>
  <w:num w:numId="9">
    <w:abstractNumId w:val="6"/>
  </w:num>
  <w:num w:numId="10">
    <w:abstractNumId w:val="40"/>
  </w:num>
  <w:num w:numId="11">
    <w:abstractNumId w:val="47"/>
  </w:num>
  <w:num w:numId="12">
    <w:abstractNumId w:val="42"/>
  </w:num>
  <w:num w:numId="13">
    <w:abstractNumId w:val="14"/>
  </w:num>
  <w:num w:numId="14">
    <w:abstractNumId w:val="38"/>
  </w:num>
  <w:num w:numId="15">
    <w:abstractNumId w:val="28"/>
  </w:num>
  <w:num w:numId="16">
    <w:abstractNumId w:val="25"/>
  </w:num>
  <w:num w:numId="17">
    <w:abstractNumId w:val="23"/>
  </w:num>
  <w:num w:numId="18">
    <w:abstractNumId w:val="46"/>
  </w:num>
  <w:num w:numId="19">
    <w:abstractNumId w:val="41"/>
  </w:num>
  <w:num w:numId="20">
    <w:abstractNumId w:val="26"/>
  </w:num>
  <w:num w:numId="21">
    <w:abstractNumId w:val="2"/>
  </w:num>
  <w:num w:numId="22">
    <w:abstractNumId w:val="7"/>
  </w:num>
  <w:num w:numId="23">
    <w:abstractNumId w:val="43"/>
  </w:num>
  <w:num w:numId="24">
    <w:abstractNumId w:val="12"/>
  </w:num>
  <w:num w:numId="25">
    <w:abstractNumId w:val="48"/>
  </w:num>
  <w:num w:numId="26">
    <w:abstractNumId w:val="22"/>
  </w:num>
  <w:num w:numId="27">
    <w:abstractNumId w:val="19"/>
  </w:num>
  <w:num w:numId="28">
    <w:abstractNumId w:val="16"/>
  </w:num>
  <w:num w:numId="29">
    <w:abstractNumId w:val="8"/>
  </w:num>
  <w:num w:numId="30">
    <w:abstractNumId w:val="15"/>
  </w:num>
  <w:num w:numId="31">
    <w:abstractNumId w:val="9"/>
  </w:num>
  <w:num w:numId="32">
    <w:abstractNumId w:val="37"/>
  </w:num>
  <w:num w:numId="33">
    <w:abstractNumId w:val="30"/>
  </w:num>
  <w:num w:numId="34">
    <w:abstractNumId w:val="31"/>
  </w:num>
  <w:num w:numId="35">
    <w:abstractNumId w:val="44"/>
  </w:num>
  <w:num w:numId="36">
    <w:abstractNumId w:val="35"/>
  </w:num>
  <w:num w:numId="37">
    <w:abstractNumId w:val="24"/>
  </w:num>
  <w:num w:numId="38">
    <w:abstractNumId w:val="32"/>
  </w:num>
  <w:num w:numId="39">
    <w:abstractNumId w:val="36"/>
  </w:num>
  <w:num w:numId="40">
    <w:abstractNumId w:val="1"/>
  </w:num>
  <w:num w:numId="41">
    <w:abstractNumId w:val="0"/>
  </w:num>
  <w:num w:numId="42">
    <w:abstractNumId w:val="17"/>
  </w:num>
  <w:num w:numId="43">
    <w:abstractNumId w:val="11"/>
  </w:num>
  <w:num w:numId="44">
    <w:abstractNumId w:val="33"/>
  </w:num>
  <w:num w:numId="45">
    <w:abstractNumId w:val="20"/>
  </w:num>
  <w:num w:numId="46">
    <w:abstractNumId w:val="45"/>
  </w:num>
  <w:num w:numId="47">
    <w:abstractNumId w:val="18"/>
  </w:num>
  <w:num w:numId="48">
    <w:abstractNumId w:val="13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313A"/>
    <w:rsid w:val="00003634"/>
    <w:rsid w:val="00004443"/>
    <w:rsid w:val="00004866"/>
    <w:rsid w:val="00007C68"/>
    <w:rsid w:val="0001331C"/>
    <w:rsid w:val="000165A9"/>
    <w:rsid w:val="000167BB"/>
    <w:rsid w:val="00017761"/>
    <w:rsid w:val="000255B9"/>
    <w:rsid w:val="00026778"/>
    <w:rsid w:val="00031EE4"/>
    <w:rsid w:val="000320C8"/>
    <w:rsid w:val="00032D2F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FC4"/>
    <w:rsid w:val="0005008D"/>
    <w:rsid w:val="000502D9"/>
    <w:rsid w:val="00050368"/>
    <w:rsid w:val="00053ED1"/>
    <w:rsid w:val="0005482F"/>
    <w:rsid w:val="00056A3A"/>
    <w:rsid w:val="00060387"/>
    <w:rsid w:val="00060858"/>
    <w:rsid w:val="00062561"/>
    <w:rsid w:val="0006257C"/>
    <w:rsid w:val="00064EBA"/>
    <w:rsid w:val="00075CDD"/>
    <w:rsid w:val="00083158"/>
    <w:rsid w:val="00084DEE"/>
    <w:rsid w:val="00085EDA"/>
    <w:rsid w:val="00087B2D"/>
    <w:rsid w:val="0009084E"/>
    <w:rsid w:val="00093019"/>
    <w:rsid w:val="000955F8"/>
    <w:rsid w:val="000970D1"/>
    <w:rsid w:val="000A1D4B"/>
    <w:rsid w:val="000A4065"/>
    <w:rsid w:val="000A4313"/>
    <w:rsid w:val="000A4894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72D2"/>
    <w:rsid w:val="000E0591"/>
    <w:rsid w:val="000E6AD7"/>
    <w:rsid w:val="000E7EE7"/>
    <w:rsid w:val="000F0EF8"/>
    <w:rsid w:val="000F10A5"/>
    <w:rsid w:val="000F1E76"/>
    <w:rsid w:val="000F3CEE"/>
    <w:rsid w:val="000F41F2"/>
    <w:rsid w:val="000F583B"/>
    <w:rsid w:val="00102DEB"/>
    <w:rsid w:val="001043C1"/>
    <w:rsid w:val="001053E2"/>
    <w:rsid w:val="001105C3"/>
    <w:rsid w:val="00114131"/>
    <w:rsid w:val="001147F6"/>
    <w:rsid w:val="00117D6D"/>
    <w:rsid w:val="00120019"/>
    <w:rsid w:val="001216CB"/>
    <w:rsid w:val="001220AA"/>
    <w:rsid w:val="001318F5"/>
    <w:rsid w:val="0013205A"/>
    <w:rsid w:val="00132A40"/>
    <w:rsid w:val="00133C89"/>
    <w:rsid w:val="00134000"/>
    <w:rsid w:val="0013475A"/>
    <w:rsid w:val="001369C0"/>
    <w:rsid w:val="00140943"/>
    <w:rsid w:val="00141697"/>
    <w:rsid w:val="00142B1D"/>
    <w:rsid w:val="001434CE"/>
    <w:rsid w:val="00143726"/>
    <w:rsid w:val="00144D6A"/>
    <w:rsid w:val="001455B3"/>
    <w:rsid w:val="0014755F"/>
    <w:rsid w:val="00150247"/>
    <w:rsid w:val="001528DB"/>
    <w:rsid w:val="0016099A"/>
    <w:rsid w:val="00163038"/>
    <w:rsid w:val="00165DC3"/>
    <w:rsid w:val="00166220"/>
    <w:rsid w:val="0016664B"/>
    <w:rsid w:val="00166F43"/>
    <w:rsid w:val="00167C26"/>
    <w:rsid w:val="0017041D"/>
    <w:rsid w:val="00170F36"/>
    <w:rsid w:val="001729C8"/>
    <w:rsid w:val="00173D25"/>
    <w:rsid w:val="00174422"/>
    <w:rsid w:val="00174611"/>
    <w:rsid w:val="00176E18"/>
    <w:rsid w:val="0018008F"/>
    <w:rsid w:val="00184662"/>
    <w:rsid w:val="001873F8"/>
    <w:rsid w:val="001904C5"/>
    <w:rsid w:val="00191DCC"/>
    <w:rsid w:val="00192B8A"/>
    <w:rsid w:val="00193A88"/>
    <w:rsid w:val="001954CC"/>
    <w:rsid w:val="00195EB7"/>
    <w:rsid w:val="0019625C"/>
    <w:rsid w:val="00196F91"/>
    <w:rsid w:val="001A09D2"/>
    <w:rsid w:val="001A766F"/>
    <w:rsid w:val="001A7FB6"/>
    <w:rsid w:val="001B267D"/>
    <w:rsid w:val="001B5D56"/>
    <w:rsid w:val="001B6B46"/>
    <w:rsid w:val="001B6EE4"/>
    <w:rsid w:val="001C08CB"/>
    <w:rsid w:val="001C2614"/>
    <w:rsid w:val="001C273F"/>
    <w:rsid w:val="001C3BA4"/>
    <w:rsid w:val="001C53EB"/>
    <w:rsid w:val="001C6A4B"/>
    <w:rsid w:val="001C7FB1"/>
    <w:rsid w:val="001D1F36"/>
    <w:rsid w:val="001D4364"/>
    <w:rsid w:val="001D445D"/>
    <w:rsid w:val="001D483A"/>
    <w:rsid w:val="001D48CC"/>
    <w:rsid w:val="001D557C"/>
    <w:rsid w:val="001D6188"/>
    <w:rsid w:val="001D6AA2"/>
    <w:rsid w:val="001D7B0A"/>
    <w:rsid w:val="001D7BDD"/>
    <w:rsid w:val="001E019F"/>
    <w:rsid w:val="001E11FE"/>
    <w:rsid w:val="001E1897"/>
    <w:rsid w:val="001E28CC"/>
    <w:rsid w:val="001E627C"/>
    <w:rsid w:val="001F10EF"/>
    <w:rsid w:val="001F1409"/>
    <w:rsid w:val="001F2121"/>
    <w:rsid w:val="001F53F4"/>
    <w:rsid w:val="001F54C7"/>
    <w:rsid w:val="001F6985"/>
    <w:rsid w:val="001F7EBB"/>
    <w:rsid w:val="00202273"/>
    <w:rsid w:val="0020497A"/>
    <w:rsid w:val="00204E50"/>
    <w:rsid w:val="0020567E"/>
    <w:rsid w:val="00214065"/>
    <w:rsid w:val="002156B3"/>
    <w:rsid w:val="0021591A"/>
    <w:rsid w:val="0021799A"/>
    <w:rsid w:val="002242E8"/>
    <w:rsid w:val="00224A61"/>
    <w:rsid w:val="00232800"/>
    <w:rsid w:val="002344A0"/>
    <w:rsid w:val="002350E1"/>
    <w:rsid w:val="0024183B"/>
    <w:rsid w:val="00241A37"/>
    <w:rsid w:val="002426F1"/>
    <w:rsid w:val="0024288E"/>
    <w:rsid w:val="00242BD8"/>
    <w:rsid w:val="00242DD2"/>
    <w:rsid w:val="002443DF"/>
    <w:rsid w:val="00245F8F"/>
    <w:rsid w:val="00251F63"/>
    <w:rsid w:val="00253092"/>
    <w:rsid w:val="00257DBE"/>
    <w:rsid w:val="00264501"/>
    <w:rsid w:val="002652F7"/>
    <w:rsid w:val="00271B8A"/>
    <w:rsid w:val="00271D4B"/>
    <w:rsid w:val="00272ABA"/>
    <w:rsid w:val="00275EB7"/>
    <w:rsid w:val="00276C12"/>
    <w:rsid w:val="00280066"/>
    <w:rsid w:val="00281785"/>
    <w:rsid w:val="002868DF"/>
    <w:rsid w:val="00286C22"/>
    <w:rsid w:val="00286FF9"/>
    <w:rsid w:val="00287027"/>
    <w:rsid w:val="00290271"/>
    <w:rsid w:val="002906A9"/>
    <w:rsid w:val="0029397F"/>
    <w:rsid w:val="00296186"/>
    <w:rsid w:val="002A184D"/>
    <w:rsid w:val="002A2834"/>
    <w:rsid w:val="002A5DCF"/>
    <w:rsid w:val="002B67A4"/>
    <w:rsid w:val="002B7349"/>
    <w:rsid w:val="002B74F9"/>
    <w:rsid w:val="002C0F39"/>
    <w:rsid w:val="002C4964"/>
    <w:rsid w:val="002C6118"/>
    <w:rsid w:val="002C764B"/>
    <w:rsid w:val="002D198D"/>
    <w:rsid w:val="002D3E41"/>
    <w:rsid w:val="002D42BE"/>
    <w:rsid w:val="002D650D"/>
    <w:rsid w:val="002D7A30"/>
    <w:rsid w:val="002E2358"/>
    <w:rsid w:val="002E325F"/>
    <w:rsid w:val="002E3495"/>
    <w:rsid w:val="002E4571"/>
    <w:rsid w:val="002E54F3"/>
    <w:rsid w:val="002E7D37"/>
    <w:rsid w:val="002E7E4E"/>
    <w:rsid w:val="002F2ECC"/>
    <w:rsid w:val="002F316F"/>
    <w:rsid w:val="002F4002"/>
    <w:rsid w:val="002F54AD"/>
    <w:rsid w:val="003019A9"/>
    <w:rsid w:val="00302460"/>
    <w:rsid w:val="00303279"/>
    <w:rsid w:val="00304DD1"/>
    <w:rsid w:val="00313BFC"/>
    <w:rsid w:val="00321B98"/>
    <w:rsid w:val="0032389D"/>
    <w:rsid w:val="00325AA3"/>
    <w:rsid w:val="003276D3"/>
    <w:rsid w:val="003303C4"/>
    <w:rsid w:val="003313CB"/>
    <w:rsid w:val="003316CD"/>
    <w:rsid w:val="00332142"/>
    <w:rsid w:val="003333CC"/>
    <w:rsid w:val="003351B5"/>
    <w:rsid w:val="00341E9D"/>
    <w:rsid w:val="003500BD"/>
    <w:rsid w:val="00351402"/>
    <w:rsid w:val="0035302C"/>
    <w:rsid w:val="00355C83"/>
    <w:rsid w:val="00356B3F"/>
    <w:rsid w:val="00356F9E"/>
    <w:rsid w:val="00362E81"/>
    <w:rsid w:val="003651B6"/>
    <w:rsid w:val="00365B0F"/>
    <w:rsid w:val="00366CDC"/>
    <w:rsid w:val="00370606"/>
    <w:rsid w:val="00371901"/>
    <w:rsid w:val="0037346B"/>
    <w:rsid w:val="0038166C"/>
    <w:rsid w:val="00382320"/>
    <w:rsid w:val="00387B89"/>
    <w:rsid w:val="00394896"/>
    <w:rsid w:val="0039492A"/>
    <w:rsid w:val="00397C27"/>
    <w:rsid w:val="00397D2A"/>
    <w:rsid w:val="003A03F3"/>
    <w:rsid w:val="003A21DA"/>
    <w:rsid w:val="003A52B3"/>
    <w:rsid w:val="003A52F9"/>
    <w:rsid w:val="003A661B"/>
    <w:rsid w:val="003B007A"/>
    <w:rsid w:val="003B1569"/>
    <w:rsid w:val="003B18A8"/>
    <w:rsid w:val="003B1DF2"/>
    <w:rsid w:val="003B41C5"/>
    <w:rsid w:val="003B4CF3"/>
    <w:rsid w:val="003B5FB5"/>
    <w:rsid w:val="003B6609"/>
    <w:rsid w:val="003B7DAA"/>
    <w:rsid w:val="003C1006"/>
    <w:rsid w:val="003C3EDD"/>
    <w:rsid w:val="003C49AE"/>
    <w:rsid w:val="003D3D73"/>
    <w:rsid w:val="003D4544"/>
    <w:rsid w:val="003D492F"/>
    <w:rsid w:val="003E0725"/>
    <w:rsid w:val="003E2A34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05D05"/>
    <w:rsid w:val="00410BBB"/>
    <w:rsid w:val="00411D39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1A48"/>
    <w:rsid w:val="00434CED"/>
    <w:rsid w:val="00436D5A"/>
    <w:rsid w:val="004372AB"/>
    <w:rsid w:val="00442D51"/>
    <w:rsid w:val="00443688"/>
    <w:rsid w:val="00444041"/>
    <w:rsid w:val="004450D8"/>
    <w:rsid w:val="004456FF"/>
    <w:rsid w:val="00445B89"/>
    <w:rsid w:val="0044695E"/>
    <w:rsid w:val="00454C6E"/>
    <w:rsid w:val="0045549D"/>
    <w:rsid w:val="004559F6"/>
    <w:rsid w:val="004566CA"/>
    <w:rsid w:val="004652DC"/>
    <w:rsid w:val="00466B8E"/>
    <w:rsid w:val="00470CFA"/>
    <w:rsid w:val="00471B07"/>
    <w:rsid w:val="00472F86"/>
    <w:rsid w:val="0047653F"/>
    <w:rsid w:val="00476F2A"/>
    <w:rsid w:val="00480FB3"/>
    <w:rsid w:val="0048369A"/>
    <w:rsid w:val="004864F5"/>
    <w:rsid w:val="00487C07"/>
    <w:rsid w:val="004945C5"/>
    <w:rsid w:val="00495339"/>
    <w:rsid w:val="0049741C"/>
    <w:rsid w:val="004A10D3"/>
    <w:rsid w:val="004A393E"/>
    <w:rsid w:val="004B058D"/>
    <w:rsid w:val="004B6E43"/>
    <w:rsid w:val="004C06EE"/>
    <w:rsid w:val="004C2F39"/>
    <w:rsid w:val="004C5619"/>
    <w:rsid w:val="004C6503"/>
    <w:rsid w:val="004C6EFF"/>
    <w:rsid w:val="004D0158"/>
    <w:rsid w:val="004D292D"/>
    <w:rsid w:val="004D3013"/>
    <w:rsid w:val="004D5181"/>
    <w:rsid w:val="004D547E"/>
    <w:rsid w:val="004D5541"/>
    <w:rsid w:val="004E5CC9"/>
    <w:rsid w:val="004F071E"/>
    <w:rsid w:val="004F18FA"/>
    <w:rsid w:val="004F1CCD"/>
    <w:rsid w:val="004F2BE7"/>
    <w:rsid w:val="004F3363"/>
    <w:rsid w:val="004F3B74"/>
    <w:rsid w:val="004F42E7"/>
    <w:rsid w:val="004F4B35"/>
    <w:rsid w:val="004F5B07"/>
    <w:rsid w:val="00502A8D"/>
    <w:rsid w:val="00502D0D"/>
    <w:rsid w:val="00503849"/>
    <w:rsid w:val="00503A4D"/>
    <w:rsid w:val="005108CD"/>
    <w:rsid w:val="00511261"/>
    <w:rsid w:val="00511AC2"/>
    <w:rsid w:val="00512BDB"/>
    <w:rsid w:val="00521850"/>
    <w:rsid w:val="00521D39"/>
    <w:rsid w:val="00525E48"/>
    <w:rsid w:val="00526266"/>
    <w:rsid w:val="005268C9"/>
    <w:rsid w:val="0053029B"/>
    <w:rsid w:val="00530DDF"/>
    <w:rsid w:val="0053122B"/>
    <w:rsid w:val="00533BBE"/>
    <w:rsid w:val="00534715"/>
    <w:rsid w:val="0053582C"/>
    <w:rsid w:val="00535A06"/>
    <w:rsid w:val="00535CD5"/>
    <w:rsid w:val="00535F45"/>
    <w:rsid w:val="00536C97"/>
    <w:rsid w:val="00537E29"/>
    <w:rsid w:val="00540B5B"/>
    <w:rsid w:val="005434BD"/>
    <w:rsid w:val="0054350D"/>
    <w:rsid w:val="00544CD6"/>
    <w:rsid w:val="005468AC"/>
    <w:rsid w:val="00553B5C"/>
    <w:rsid w:val="00555046"/>
    <w:rsid w:val="00555298"/>
    <w:rsid w:val="005617BE"/>
    <w:rsid w:val="00563807"/>
    <w:rsid w:val="005644A8"/>
    <w:rsid w:val="00565500"/>
    <w:rsid w:val="005655E9"/>
    <w:rsid w:val="005678CD"/>
    <w:rsid w:val="0057019F"/>
    <w:rsid w:val="00570B6A"/>
    <w:rsid w:val="00575192"/>
    <w:rsid w:val="00577D6C"/>
    <w:rsid w:val="0058079C"/>
    <w:rsid w:val="0058702E"/>
    <w:rsid w:val="00587B1E"/>
    <w:rsid w:val="00591157"/>
    <w:rsid w:val="00591457"/>
    <w:rsid w:val="005917A9"/>
    <w:rsid w:val="00592F02"/>
    <w:rsid w:val="00597C30"/>
    <w:rsid w:val="005A2C0E"/>
    <w:rsid w:val="005A31CB"/>
    <w:rsid w:val="005A3C98"/>
    <w:rsid w:val="005A4BCC"/>
    <w:rsid w:val="005B195B"/>
    <w:rsid w:val="005B1C46"/>
    <w:rsid w:val="005B2DB7"/>
    <w:rsid w:val="005B3783"/>
    <w:rsid w:val="005C0664"/>
    <w:rsid w:val="005C105F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4E37"/>
    <w:rsid w:val="005D5A1E"/>
    <w:rsid w:val="005E22EC"/>
    <w:rsid w:val="005E32C7"/>
    <w:rsid w:val="005E34E5"/>
    <w:rsid w:val="005E4935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07BB0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62DD"/>
    <w:rsid w:val="00626E3E"/>
    <w:rsid w:val="00627977"/>
    <w:rsid w:val="00632899"/>
    <w:rsid w:val="00632D92"/>
    <w:rsid w:val="0063474B"/>
    <w:rsid w:val="00635101"/>
    <w:rsid w:val="006356DC"/>
    <w:rsid w:val="00635E7C"/>
    <w:rsid w:val="006414C5"/>
    <w:rsid w:val="00641A92"/>
    <w:rsid w:val="00643B51"/>
    <w:rsid w:val="00647F69"/>
    <w:rsid w:val="00650B80"/>
    <w:rsid w:val="00650E0C"/>
    <w:rsid w:val="0065473A"/>
    <w:rsid w:val="00660234"/>
    <w:rsid w:val="00662CCC"/>
    <w:rsid w:val="00663A0D"/>
    <w:rsid w:val="00665A60"/>
    <w:rsid w:val="0066716D"/>
    <w:rsid w:val="00670FA1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82CC7"/>
    <w:rsid w:val="00684DF5"/>
    <w:rsid w:val="00685C55"/>
    <w:rsid w:val="0069594D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B4C"/>
    <w:rsid w:val="006B7FEA"/>
    <w:rsid w:val="006C1C6F"/>
    <w:rsid w:val="006C2940"/>
    <w:rsid w:val="006C3CAD"/>
    <w:rsid w:val="006C65EC"/>
    <w:rsid w:val="006D4FEE"/>
    <w:rsid w:val="006E1793"/>
    <w:rsid w:val="006E3310"/>
    <w:rsid w:val="006E469A"/>
    <w:rsid w:val="006E5A00"/>
    <w:rsid w:val="006E5CA2"/>
    <w:rsid w:val="006F09C4"/>
    <w:rsid w:val="006F3DC3"/>
    <w:rsid w:val="006F52D7"/>
    <w:rsid w:val="006F5A53"/>
    <w:rsid w:val="006F6CB9"/>
    <w:rsid w:val="00704051"/>
    <w:rsid w:val="0070689A"/>
    <w:rsid w:val="00706B15"/>
    <w:rsid w:val="007101C8"/>
    <w:rsid w:val="00710314"/>
    <w:rsid w:val="00721E0D"/>
    <w:rsid w:val="007229EB"/>
    <w:rsid w:val="007261B9"/>
    <w:rsid w:val="007274D0"/>
    <w:rsid w:val="00727CA5"/>
    <w:rsid w:val="00731E85"/>
    <w:rsid w:val="007330E3"/>
    <w:rsid w:val="007369B9"/>
    <w:rsid w:val="0074021B"/>
    <w:rsid w:val="00742596"/>
    <w:rsid w:val="00742E37"/>
    <w:rsid w:val="007522BB"/>
    <w:rsid w:val="0075390E"/>
    <w:rsid w:val="00754E39"/>
    <w:rsid w:val="00755CC9"/>
    <w:rsid w:val="00757236"/>
    <w:rsid w:val="00760B5F"/>
    <w:rsid w:val="00762AD8"/>
    <w:rsid w:val="00766325"/>
    <w:rsid w:val="00766793"/>
    <w:rsid w:val="00766C78"/>
    <w:rsid w:val="007737A2"/>
    <w:rsid w:val="00774BA1"/>
    <w:rsid w:val="00774F24"/>
    <w:rsid w:val="00775594"/>
    <w:rsid w:val="0077604E"/>
    <w:rsid w:val="007830FD"/>
    <w:rsid w:val="007966B6"/>
    <w:rsid w:val="007A011C"/>
    <w:rsid w:val="007A404F"/>
    <w:rsid w:val="007A4AB4"/>
    <w:rsid w:val="007A4D3D"/>
    <w:rsid w:val="007A715D"/>
    <w:rsid w:val="007B1CCC"/>
    <w:rsid w:val="007B6D19"/>
    <w:rsid w:val="007B7035"/>
    <w:rsid w:val="007C0E8D"/>
    <w:rsid w:val="007C10EE"/>
    <w:rsid w:val="007C2AD7"/>
    <w:rsid w:val="007C5235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E63A5"/>
    <w:rsid w:val="007F18D5"/>
    <w:rsid w:val="007F1EEB"/>
    <w:rsid w:val="007F2170"/>
    <w:rsid w:val="007F6A6E"/>
    <w:rsid w:val="008008FF"/>
    <w:rsid w:val="0080267A"/>
    <w:rsid w:val="008054BB"/>
    <w:rsid w:val="00812FF5"/>
    <w:rsid w:val="00814488"/>
    <w:rsid w:val="0081514B"/>
    <w:rsid w:val="00816928"/>
    <w:rsid w:val="008169D3"/>
    <w:rsid w:val="0082320E"/>
    <w:rsid w:val="00823E31"/>
    <w:rsid w:val="00827A25"/>
    <w:rsid w:val="00827A31"/>
    <w:rsid w:val="00832CC1"/>
    <w:rsid w:val="00832EDB"/>
    <w:rsid w:val="00833786"/>
    <w:rsid w:val="00833DCB"/>
    <w:rsid w:val="008345AC"/>
    <w:rsid w:val="00835DC4"/>
    <w:rsid w:val="00840AA5"/>
    <w:rsid w:val="0084378A"/>
    <w:rsid w:val="00843F62"/>
    <w:rsid w:val="00844CD8"/>
    <w:rsid w:val="0084520B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3909"/>
    <w:rsid w:val="00874366"/>
    <w:rsid w:val="00881FAB"/>
    <w:rsid w:val="00883EF4"/>
    <w:rsid w:val="00886BFF"/>
    <w:rsid w:val="00890795"/>
    <w:rsid w:val="00892C7E"/>
    <w:rsid w:val="00893155"/>
    <w:rsid w:val="008A06AB"/>
    <w:rsid w:val="008A1767"/>
    <w:rsid w:val="008A4F19"/>
    <w:rsid w:val="008A6D14"/>
    <w:rsid w:val="008B010A"/>
    <w:rsid w:val="008B0B3F"/>
    <w:rsid w:val="008B3E55"/>
    <w:rsid w:val="008B4508"/>
    <w:rsid w:val="008C7378"/>
    <w:rsid w:val="008D0E6E"/>
    <w:rsid w:val="008D2554"/>
    <w:rsid w:val="008E20C0"/>
    <w:rsid w:val="008F1860"/>
    <w:rsid w:val="008F1F5A"/>
    <w:rsid w:val="008F5E60"/>
    <w:rsid w:val="008F60EB"/>
    <w:rsid w:val="0090349D"/>
    <w:rsid w:val="00904A49"/>
    <w:rsid w:val="00906267"/>
    <w:rsid w:val="00907A34"/>
    <w:rsid w:val="009106DA"/>
    <w:rsid w:val="00912A84"/>
    <w:rsid w:val="00913CD0"/>
    <w:rsid w:val="00915CEE"/>
    <w:rsid w:val="0091750D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2C0B"/>
    <w:rsid w:val="00945EFE"/>
    <w:rsid w:val="0094725B"/>
    <w:rsid w:val="00952C62"/>
    <w:rsid w:val="00954C38"/>
    <w:rsid w:val="00957FDA"/>
    <w:rsid w:val="0096035E"/>
    <w:rsid w:val="00961251"/>
    <w:rsid w:val="00961C66"/>
    <w:rsid w:val="00962CA4"/>
    <w:rsid w:val="0096630E"/>
    <w:rsid w:val="0096635F"/>
    <w:rsid w:val="009732B6"/>
    <w:rsid w:val="00977CAD"/>
    <w:rsid w:val="00977E8C"/>
    <w:rsid w:val="0098035D"/>
    <w:rsid w:val="009833AC"/>
    <w:rsid w:val="009858FC"/>
    <w:rsid w:val="00986F4F"/>
    <w:rsid w:val="00992294"/>
    <w:rsid w:val="009938A1"/>
    <w:rsid w:val="00995610"/>
    <w:rsid w:val="00995D01"/>
    <w:rsid w:val="00996153"/>
    <w:rsid w:val="00997E1F"/>
    <w:rsid w:val="009A4FF1"/>
    <w:rsid w:val="009A5223"/>
    <w:rsid w:val="009A5A02"/>
    <w:rsid w:val="009A62E3"/>
    <w:rsid w:val="009A6B6B"/>
    <w:rsid w:val="009B0524"/>
    <w:rsid w:val="009B14F5"/>
    <w:rsid w:val="009B1EEF"/>
    <w:rsid w:val="009B7E1C"/>
    <w:rsid w:val="009C624C"/>
    <w:rsid w:val="009C6315"/>
    <w:rsid w:val="009D0E21"/>
    <w:rsid w:val="009D770E"/>
    <w:rsid w:val="009E10EC"/>
    <w:rsid w:val="009E20FE"/>
    <w:rsid w:val="009E2471"/>
    <w:rsid w:val="009E3555"/>
    <w:rsid w:val="009E6E05"/>
    <w:rsid w:val="009F0AE8"/>
    <w:rsid w:val="009F13EC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4D72"/>
    <w:rsid w:val="00A062D5"/>
    <w:rsid w:val="00A06E23"/>
    <w:rsid w:val="00A06FB3"/>
    <w:rsid w:val="00A11A94"/>
    <w:rsid w:val="00A11BA5"/>
    <w:rsid w:val="00A14E73"/>
    <w:rsid w:val="00A2049D"/>
    <w:rsid w:val="00A20A54"/>
    <w:rsid w:val="00A20D26"/>
    <w:rsid w:val="00A22295"/>
    <w:rsid w:val="00A30150"/>
    <w:rsid w:val="00A30ECD"/>
    <w:rsid w:val="00A315F0"/>
    <w:rsid w:val="00A316AC"/>
    <w:rsid w:val="00A31958"/>
    <w:rsid w:val="00A349F1"/>
    <w:rsid w:val="00A40501"/>
    <w:rsid w:val="00A42C8F"/>
    <w:rsid w:val="00A43ECA"/>
    <w:rsid w:val="00A4428D"/>
    <w:rsid w:val="00A479D6"/>
    <w:rsid w:val="00A51799"/>
    <w:rsid w:val="00A53444"/>
    <w:rsid w:val="00A579DD"/>
    <w:rsid w:val="00A61525"/>
    <w:rsid w:val="00A61C65"/>
    <w:rsid w:val="00A70CF7"/>
    <w:rsid w:val="00A72DD9"/>
    <w:rsid w:val="00A749E4"/>
    <w:rsid w:val="00A77240"/>
    <w:rsid w:val="00A80527"/>
    <w:rsid w:val="00A84ABF"/>
    <w:rsid w:val="00A91517"/>
    <w:rsid w:val="00A94B97"/>
    <w:rsid w:val="00A978E5"/>
    <w:rsid w:val="00A97DD3"/>
    <w:rsid w:val="00AA00AF"/>
    <w:rsid w:val="00AA018C"/>
    <w:rsid w:val="00AA25B3"/>
    <w:rsid w:val="00AB0294"/>
    <w:rsid w:val="00AB13E5"/>
    <w:rsid w:val="00AB20E8"/>
    <w:rsid w:val="00AB575C"/>
    <w:rsid w:val="00AB7AE7"/>
    <w:rsid w:val="00AC0847"/>
    <w:rsid w:val="00AC0EF8"/>
    <w:rsid w:val="00AC1F1A"/>
    <w:rsid w:val="00AC1FC2"/>
    <w:rsid w:val="00AC2322"/>
    <w:rsid w:val="00AC4705"/>
    <w:rsid w:val="00AC59AE"/>
    <w:rsid w:val="00AC73D0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1B53"/>
    <w:rsid w:val="00B024C5"/>
    <w:rsid w:val="00B02D52"/>
    <w:rsid w:val="00B03120"/>
    <w:rsid w:val="00B03570"/>
    <w:rsid w:val="00B0516C"/>
    <w:rsid w:val="00B07936"/>
    <w:rsid w:val="00B11100"/>
    <w:rsid w:val="00B1377B"/>
    <w:rsid w:val="00B15275"/>
    <w:rsid w:val="00B212C2"/>
    <w:rsid w:val="00B22BDB"/>
    <w:rsid w:val="00B3500E"/>
    <w:rsid w:val="00B35436"/>
    <w:rsid w:val="00B360E0"/>
    <w:rsid w:val="00B400D8"/>
    <w:rsid w:val="00B412EB"/>
    <w:rsid w:val="00B46B51"/>
    <w:rsid w:val="00B47B34"/>
    <w:rsid w:val="00B5147B"/>
    <w:rsid w:val="00B5158F"/>
    <w:rsid w:val="00B51FA8"/>
    <w:rsid w:val="00B61B93"/>
    <w:rsid w:val="00B623AA"/>
    <w:rsid w:val="00B62F62"/>
    <w:rsid w:val="00B6367C"/>
    <w:rsid w:val="00B65F03"/>
    <w:rsid w:val="00B6619F"/>
    <w:rsid w:val="00B66D50"/>
    <w:rsid w:val="00B67370"/>
    <w:rsid w:val="00B71E7D"/>
    <w:rsid w:val="00B72883"/>
    <w:rsid w:val="00B74000"/>
    <w:rsid w:val="00B74C45"/>
    <w:rsid w:val="00B75A55"/>
    <w:rsid w:val="00B8137F"/>
    <w:rsid w:val="00B867E3"/>
    <w:rsid w:val="00B96BBF"/>
    <w:rsid w:val="00B96C1E"/>
    <w:rsid w:val="00BA0977"/>
    <w:rsid w:val="00BA326A"/>
    <w:rsid w:val="00BB0200"/>
    <w:rsid w:val="00BB157D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23D7"/>
    <w:rsid w:val="00BD63E3"/>
    <w:rsid w:val="00BD7481"/>
    <w:rsid w:val="00BD79DD"/>
    <w:rsid w:val="00BE0270"/>
    <w:rsid w:val="00BE5FA8"/>
    <w:rsid w:val="00BF1495"/>
    <w:rsid w:val="00BF22BC"/>
    <w:rsid w:val="00BF2316"/>
    <w:rsid w:val="00BF30D1"/>
    <w:rsid w:val="00BF7626"/>
    <w:rsid w:val="00C02A50"/>
    <w:rsid w:val="00C037B5"/>
    <w:rsid w:val="00C04C4B"/>
    <w:rsid w:val="00C05E86"/>
    <w:rsid w:val="00C06A0D"/>
    <w:rsid w:val="00C1117E"/>
    <w:rsid w:val="00C1232F"/>
    <w:rsid w:val="00C13E2C"/>
    <w:rsid w:val="00C16166"/>
    <w:rsid w:val="00C21D93"/>
    <w:rsid w:val="00C230C4"/>
    <w:rsid w:val="00C25506"/>
    <w:rsid w:val="00C25950"/>
    <w:rsid w:val="00C27B4B"/>
    <w:rsid w:val="00C33F3E"/>
    <w:rsid w:val="00C34284"/>
    <w:rsid w:val="00C34CEB"/>
    <w:rsid w:val="00C36BAF"/>
    <w:rsid w:val="00C371D1"/>
    <w:rsid w:val="00C37BE6"/>
    <w:rsid w:val="00C40F48"/>
    <w:rsid w:val="00C41502"/>
    <w:rsid w:val="00C4446F"/>
    <w:rsid w:val="00C46E32"/>
    <w:rsid w:val="00C54BAC"/>
    <w:rsid w:val="00C54E89"/>
    <w:rsid w:val="00C55121"/>
    <w:rsid w:val="00C6309F"/>
    <w:rsid w:val="00C65AB4"/>
    <w:rsid w:val="00C66ED6"/>
    <w:rsid w:val="00C749F4"/>
    <w:rsid w:val="00C77E2D"/>
    <w:rsid w:val="00C81F87"/>
    <w:rsid w:val="00C82791"/>
    <w:rsid w:val="00C86702"/>
    <w:rsid w:val="00C86AAC"/>
    <w:rsid w:val="00C86C17"/>
    <w:rsid w:val="00C87D90"/>
    <w:rsid w:val="00C91A88"/>
    <w:rsid w:val="00C91E38"/>
    <w:rsid w:val="00C93666"/>
    <w:rsid w:val="00C97F93"/>
    <w:rsid w:val="00CA05D9"/>
    <w:rsid w:val="00CA4FAF"/>
    <w:rsid w:val="00CA72E1"/>
    <w:rsid w:val="00CA7F24"/>
    <w:rsid w:val="00CB1859"/>
    <w:rsid w:val="00CB1CC6"/>
    <w:rsid w:val="00CB511E"/>
    <w:rsid w:val="00CB5B4E"/>
    <w:rsid w:val="00CB7B6E"/>
    <w:rsid w:val="00CC2A49"/>
    <w:rsid w:val="00CC3BC4"/>
    <w:rsid w:val="00CC60DC"/>
    <w:rsid w:val="00CC68FA"/>
    <w:rsid w:val="00CC6BEF"/>
    <w:rsid w:val="00CD2C83"/>
    <w:rsid w:val="00CD5063"/>
    <w:rsid w:val="00CD5457"/>
    <w:rsid w:val="00CD76FC"/>
    <w:rsid w:val="00CE262E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0F3"/>
    <w:rsid w:val="00D31809"/>
    <w:rsid w:val="00D33006"/>
    <w:rsid w:val="00D33C02"/>
    <w:rsid w:val="00D41022"/>
    <w:rsid w:val="00D41034"/>
    <w:rsid w:val="00D415AC"/>
    <w:rsid w:val="00D41A39"/>
    <w:rsid w:val="00D42159"/>
    <w:rsid w:val="00D42EEB"/>
    <w:rsid w:val="00D4327D"/>
    <w:rsid w:val="00D5125F"/>
    <w:rsid w:val="00D54761"/>
    <w:rsid w:val="00D55258"/>
    <w:rsid w:val="00D6040A"/>
    <w:rsid w:val="00D60728"/>
    <w:rsid w:val="00D61857"/>
    <w:rsid w:val="00D6708C"/>
    <w:rsid w:val="00D70B7C"/>
    <w:rsid w:val="00D70F96"/>
    <w:rsid w:val="00D71DD2"/>
    <w:rsid w:val="00D72580"/>
    <w:rsid w:val="00D72766"/>
    <w:rsid w:val="00D72B53"/>
    <w:rsid w:val="00D734E1"/>
    <w:rsid w:val="00D74348"/>
    <w:rsid w:val="00D77CB6"/>
    <w:rsid w:val="00D82C1E"/>
    <w:rsid w:val="00D82CD3"/>
    <w:rsid w:val="00D8439C"/>
    <w:rsid w:val="00D85263"/>
    <w:rsid w:val="00D9019D"/>
    <w:rsid w:val="00D9070D"/>
    <w:rsid w:val="00D90894"/>
    <w:rsid w:val="00D91097"/>
    <w:rsid w:val="00D928FC"/>
    <w:rsid w:val="00D92F56"/>
    <w:rsid w:val="00D96010"/>
    <w:rsid w:val="00D960AF"/>
    <w:rsid w:val="00D965E0"/>
    <w:rsid w:val="00D97DF3"/>
    <w:rsid w:val="00DA2704"/>
    <w:rsid w:val="00DA3F1F"/>
    <w:rsid w:val="00DA4534"/>
    <w:rsid w:val="00DB385F"/>
    <w:rsid w:val="00DB62C5"/>
    <w:rsid w:val="00DC096B"/>
    <w:rsid w:val="00DC09FF"/>
    <w:rsid w:val="00DC0C53"/>
    <w:rsid w:val="00DC1988"/>
    <w:rsid w:val="00DC4EB7"/>
    <w:rsid w:val="00DC53D3"/>
    <w:rsid w:val="00DC7780"/>
    <w:rsid w:val="00DD2252"/>
    <w:rsid w:val="00DD2A0C"/>
    <w:rsid w:val="00DD494C"/>
    <w:rsid w:val="00DE0F49"/>
    <w:rsid w:val="00DE1FAD"/>
    <w:rsid w:val="00DE2E40"/>
    <w:rsid w:val="00DE357A"/>
    <w:rsid w:val="00DE4E1E"/>
    <w:rsid w:val="00DE5964"/>
    <w:rsid w:val="00DE71A0"/>
    <w:rsid w:val="00DF0AF2"/>
    <w:rsid w:val="00DF0C22"/>
    <w:rsid w:val="00DF184B"/>
    <w:rsid w:val="00DF4B7C"/>
    <w:rsid w:val="00E03DA3"/>
    <w:rsid w:val="00E07724"/>
    <w:rsid w:val="00E11880"/>
    <w:rsid w:val="00E127FF"/>
    <w:rsid w:val="00E12C9C"/>
    <w:rsid w:val="00E14271"/>
    <w:rsid w:val="00E15161"/>
    <w:rsid w:val="00E15222"/>
    <w:rsid w:val="00E15B0D"/>
    <w:rsid w:val="00E17F39"/>
    <w:rsid w:val="00E20492"/>
    <w:rsid w:val="00E2148F"/>
    <w:rsid w:val="00E24F0B"/>
    <w:rsid w:val="00E41391"/>
    <w:rsid w:val="00E44173"/>
    <w:rsid w:val="00E47827"/>
    <w:rsid w:val="00E54189"/>
    <w:rsid w:val="00E55E72"/>
    <w:rsid w:val="00E618FA"/>
    <w:rsid w:val="00E61A91"/>
    <w:rsid w:val="00E654DD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3C58"/>
    <w:rsid w:val="00E950EF"/>
    <w:rsid w:val="00E9660D"/>
    <w:rsid w:val="00E97E61"/>
    <w:rsid w:val="00EA2D99"/>
    <w:rsid w:val="00EA6726"/>
    <w:rsid w:val="00EA745D"/>
    <w:rsid w:val="00EB0523"/>
    <w:rsid w:val="00EB10A7"/>
    <w:rsid w:val="00EB3827"/>
    <w:rsid w:val="00EB3C9F"/>
    <w:rsid w:val="00EB6AF4"/>
    <w:rsid w:val="00EB71DF"/>
    <w:rsid w:val="00EC1AC9"/>
    <w:rsid w:val="00EC33B0"/>
    <w:rsid w:val="00EC3C9E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3B37"/>
    <w:rsid w:val="00F149E0"/>
    <w:rsid w:val="00F15EE2"/>
    <w:rsid w:val="00F248F2"/>
    <w:rsid w:val="00F24FD8"/>
    <w:rsid w:val="00F3629D"/>
    <w:rsid w:val="00F372EA"/>
    <w:rsid w:val="00F4163A"/>
    <w:rsid w:val="00F46ABA"/>
    <w:rsid w:val="00F5219C"/>
    <w:rsid w:val="00F52F22"/>
    <w:rsid w:val="00F54C9E"/>
    <w:rsid w:val="00F54CEA"/>
    <w:rsid w:val="00F55073"/>
    <w:rsid w:val="00F551DC"/>
    <w:rsid w:val="00F5754A"/>
    <w:rsid w:val="00F65FD6"/>
    <w:rsid w:val="00F6614D"/>
    <w:rsid w:val="00F66942"/>
    <w:rsid w:val="00F669C7"/>
    <w:rsid w:val="00F670A3"/>
    <w:rsid w:val="00F71E66"/>
    <w:rsid w:val="00F72B54"/>
    <w:rsid w:val="00F7336E"/>
    <w:rsid w:val="00F77B3B"/>
    <w:rsid w:val="00F77DC7"/>
    <w:rsid w:val="00F83EC0"/>
    <w:rsid w:val="00F87424"/>
    <w:rsid w:val="00F906D8"/>
    <w:rsid w:val="00F93719"/>
    <w:rsid w:val="00F953C5"/>
    <w:rsid w:val="00F96746"/>
    <w:rsid w:val="00FA01D7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037D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70D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9070D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eastAsia="zh-CN" w:bidi="hi-IN"/>
    </w:rPr>
  </w:style>
  <w:style w:type="paragraph" w:customStyle="1" w:styleId="Aside">
    <w:name w:val="Aside"/>
    <w:basedOn w:val="Normal"/>
    <w:qFormat/>
    <w:rsid w:val="00E654DD"/>
    <w:pPr>
      <w:shd w:val="pct15" w:color="auto" w:fill="92D050"/>
    </w:pPr>
  </w:style>
  <w:style w:type="paragraph" w:customStyle="1" w:styleId="Poem">
    <w:name w:val="Poem"/>
    <w:basedOn w:val="Quote"/>
    <w:qFormat/>
    <w:rsid w:val="00AC59AE"/>
    <w:pPr>
      <w:shd w:val="clear" w:color="auto" w:fill="FFF2CC" w:themeFill="accent4" w:themeFillTint="33"/>
      <w:ind w:left="284" w:right="284"/>
    </w:pPr>
    <w:rPr>
      <w:color w:val="auto"/>
    </w:rPr>
  </w:style>
  <w:style w:type="paragraph" w:customStyle="1" w:styleId="Indent">
    <w:name w:val="Indent"/>
    <w:basedOn w:val="Normal"/>
    <w:link w:val="IndentChar"/>
    <w:qFormat/>
    <w:rsid w:val="003351B5"/>
    <w:pPr>
      <w:ind w:left="567"/>
    </w:pPr>
  </w:style>
  <w:style w:type="character" w:customStyle="1" w:styleId="IndentChar">
    <w:name w:val="Indent Char"/>
    <w:basedOn w:val="DefaultParagraphFont"/>
    <w:link w:val="Indent"/>
    <w:rsid w:val="003351B5"/>
    <w:rPr>
      <w:rFonts w:ascii="Liberation Serif" w:hAnsi="Liberation Serif" w:cs="Lohit Devanagari"/>
      <w:sz w:val="24"/>
      <w:szCs w:val="24"/>
      <w:lang w:eastAsia="zh-CN" w:bidi="hi-IN"/>
    </w:rPr>
  </w:style>
  <w:style w:type="paragraph" w:customStyle="1" w:styleId="FAQQuestion">
    <w:name w:val="FAQ Question"/>
    <w:basedOn w:val="Normal"/>
    <w:qFormat/>
    <w:rsid w:val="003351B5"/>
    <w:pPr>
      <w:shd w:val="clear" w:color="auto" w:fill="E7E6E6" w:themeFill="background2"/>
    </w:pPr>
    <w:rPr>
      <w:b/>
    </w:rPr>
  </w:style>
  <w:style w:type="paragraph" w:customStyle="1" w:styleId="FAQAnswer">
    <w:name w:val="FAQ Answer"/>
    <w:basedOn w:val="Normal"/>
    <w:qFormat/>
    <w:rsid w:val="007A011C"/>
    <w:pPr>
      <w:shd w:val="clear" w:color="auto" w:fill="FFF2CC" w:themeFill="accent4" w:themeFillTint="33"/>
      <w:ind w:left="284" w:righ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hyperlink" Target="https://griffitheduau-my.sharepoint.com/:x:/g/personal/d_jones6_griffith_edu_au/Ed9RLqTcWG5Fk_Lqj0yGuM0Bm93BLnzKphfDGB7PBpcZ6A?e=zZwQ8U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mailto:d.jones6@griffith.edu.au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s://intranet.secure.griffith.edu.au/computing/using-learning-at-griffith/staff/content/content-collection" TargetMode="Externa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yperlink" Target="https://justwatch.com/au" TargetMode="Externa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griffith.edu.au/library/teaching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csvjson.com/csv2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8105C7-64EC-4DD3-8D0C-31C9ABD8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628</cp:revision>
  <dcterms:created xsi:type="dcterms:W3CDTF">2019-10-15T03:30:00Z</dcterms:created>
  <dcterms:modified xsi:type="dcterms:W3CDTF">2021-11-09T20:50:00Z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