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F33477" w:rsidR="00A614A2" w:rsidRDefault="0099049A">
      <w:r>
        <w:t>For example, is a powerpoint the best way of representing narrative driven content? What are some key considerations to having students work asynchronously? Is my content accessible to all students in my cohort?</w:t>
      </w:r>
    </w:p>
    <w:p w14:paraId="12308E34" w14:textId="00958BC2" w:rsidR="007A6597" w:rsidRDefault="007A6597">
      <w:r>
        <w:t xml:space="preserve">And there's also an </w:t>
      </w:r>
      <w:r w:rsidRPr="007A6597">
        <w:rPr>
          <w:rStyle w:val="TalisCanvasLink"/>
        </w:rPr>
        <w:t xml:space="preserve">auto reading list link </w:t>
      </w:r>
      <w:commentRangeStart w:id="2"/>
      <w:r w:rsidRPr="007A6597">
        <w:rPr>
          <w:rStyle w:val="TalisCanvasLink"/>
        </w:rPr>
        <w:t>style</w:t>
      </w:r>
      <w:commentRangeEnd w:id="2"/>
      <w:r>
        <w:rPr>
          <w:rStyle w:val="CommentReference"/>
          <w:rFonts w:cs="Mangal"/>
        </w:rPr>
        <w:commentReference w:id="2"/>
      </w:r>
      <w:r>
        <w:t>.</w:t>
      </w:r>
    </w:p>
    <w:p w14:paraId="041F4DF3" w14:textId="009D5EF1" w:rsidR="0012334C" w:rsidRDefault="0012334C">
      <w:r>
        <w:t xml:space="preserve">And a </w:t>
      </w:r>
      <w:commentRangeStart w:id="3"/>
      <w:r w:rsidR="00D233E7">
        <w:fldChar w:fldCharType="begin"/>
      </w:r>
      <w:r w:rsidR="00D233E7">
        <w:instrText xml:space="preserve"> HYPERLINK "Discussions" </w:instrText>
      </w:r>
      <w:r w:rsidR="00D233E7">
        <w:fldChar w:fldCharType="separate"/>
      </w:r>
      <w:r w:rsidRPr="0012334C">
        <w:rPr>
          <w:rStyle w:val="CanvasMenuLink"/>
        </w:rPr>
        <w:t>Canvas Menu Link</w:t>
      </w:r>
      <w:r w:rsidR="00D233E7">
        <w:rPr>
          <w:rStyle w:val="CanvasMenuLink"/>
        </w:rPr>
        <w:fldChar w:fldCharType="end"/>
      </w:r>
      <w:commentRangeEnd w:id="3"/>
      <w:r w:rsidR="0091620B">
        <w:rPr>
          <w:rStyle w:val="CommentReference"/>
          <w:rFonts w:cs="Mangal"/>
        </w:rPr>
        <w:commentReference w:id="3"/>
      </w:r>
      <w:r>
        <w:t xml:space="preserve"> </w:t>
      </w:r>
      <w:commentRangeStart w:id="4"/>
      <w:r>
        <w:t>that</w:t>
      </w:r>
      <w:commentRangeEnd w:id="4"/>
      <w:r>
        <w:rPr>
          <w:rStyle w:val="CommentReference"/>
          <w:rFonts w:cs="Mangal"/>
        </w:rPr>
        <w:commentReference w:id="4"/>
      </w:r>
      <w:r>
        <w:t xml:space="preserve"> can be used to create a link to the menu item with the link name.</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lastRenderedPageBreak/>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w:t>
      </w:r>
      <w:proofErr w:type="gramStart"/>
      <w:r>
        <w:t>i.e.</w:t>
      </w:r>
      <w:proofErr w:type="gramEnd"/>
      <w:r>
        <w:t xml:space="preserve"> a link to the course reading list.</w:t>
      </w:r>
    </w:p>
  </w:comment>
  <w:comment w:id="3"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4" w:author="David Jones" w:date="2022-02-16T07:37:00Z" w:initials="DJ">
    <w:p w14:paraId="30500065" w14:textId="76817582" w:rsidR="0012334C" w:rsidRDefault="0012334C">
      <w:pPr>
        <w:pStyle w:val="CommentText"/>
      </w:pPr>
      <w:r>
        <w:rPr>
          <w:rStyle w:val="CommentReference"/>
        </w:rPr>
        <w:annotationRef/>
      </w:r>
      <w:r>
        <w:t xml:space="preserve">Still need to check how well this will migrate from course offering to course offering – should </w:t>
      </w:r>
      <w:proofErr w:type="gramStart"/>
      <w:r>
        <w:t>be</w:t>
      </w:r>
      <w:proofErr w:type="gramEnd"/>
      <w:r>
        <w:t xml:space="preserve"> ok?</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2A13612F" w15:done="0"/>
  <w15:commentEx w15:paraId="014425E1" w15:done="0"/>
  <w15:commentEx w15:paraId="30500065" w15:done="0"/>
  <w15:commentEx w15:paraId="1A6DF6E1" w15:done="0"/>
  <w15:commentEx w15:paraId="5F9AA114"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62065" w16cex:dateUtc="2022-02-15T02:51:00Z"/>
  <w16cex:commentExtensible w16cex:durableId="25BCA656" w16cex:dateUtc="2022-02-20T01:36:00Z"/>
  <w16cex:commentExtensible w16cex:durableId="25B72845" w16cex:dateUtc="2022-02-15T21:37: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2A13612F" w16cid:durableId="25B62065"/>
  <w16cid:commentId w16cid:paraId="014425E1" w16cid:durableId="25BCA656"/>
  <w16cid:commentId w16cid:paraId="30500065" w16cid:durableId="25B72845"/>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7" type="#_x0000_t75" style="width:467.5pt;height:467.5pt" o:bullet="t">
        <v:imagedata r:id="rId1" o:title="document-309065_960_720[1]"/>
      </v:shape>
    </w:pict>
  </w:numPicBullet>
  <w:numPicBullet w:numPicBulletId="1">
    <w:pict>
      <v:shape id="_x0000_i2098" type="#_x0000_t75" style="width:384pt;height:384pt" o:bullet="t">
        <v:imagedata r:id="rId2" o:title="3122008[1]"/>
      </v:shape>
    </w:pict>
  </w:numPicBullet>
  <w:numPicBullet w:numPicBulletId="2">
    <w:pict>
      <v:shape id="_x0000_i2099" type="#_x0000_t75" style="width:467.5pt;height:370.5pt" o:bullet="t">
        <v:imagedata r:id="rId3" o:title="icon-folder"/>
      </v:shape>
    </w:pict>
  </w:numPicBullet>
  <w:numPicBullet w:numPicBulletId="3">
    <w:pict>
      <v:shape id="_x0000_i2100" type="#_x0000_t75" style="width:468pt;height:327.5pt" o:bullet="t">
        <v:imagedata r:id="rId4" o:title="checklist-1402461_960_720[1]"/>
      </v:shape>
    </w:pict>
  </w:numPicBullet>
  <w:numPicBullet w:numPicBulletId="4">
    <w:pict>
      <v:shape id="_x0000_i2101" type="#_x0000_t75" style="width:468pt;height:234pt" o:bullet="t">
        <v:imagedata r:id="rId5" o:title="ribbon-29767_640[1]"/>
      </v:shape>
    </w:pict>
  </w:numPicBullet>
  <w:numPicBullet w:numPicBulletId="5">
    <w:pict>
      <v:shape id="_x0000_i2102" type="#_x0000_t75" style="width:467pt;height:350.5pt" o:bullet="t">
        <v:imagedata r:id="rId6" o:title="UGent_2013_Quiz_button[1]"/>
      </v:shape>
    </w:pict>
  </w:numPicBullet>
  <w:numPicBullet w:numPicBulletId="6">
    <w:pict>
      <v:shape id="_x0000_i2103" type="#_x0000_t75" style="width:467.5pt;height:464pt" o:bullet="t">
        <v:imagedata r:id="rId7" o:title="quiz-2058888_960_720[1]"/>
      </v:shape>
    </w:pict>
  </w:numPicBullet>
  <w:numPicBullet w:numPicBulletId="7">
    <w:pict>
      <v:shape id="_x0000_i2104" type="#_x0000_t75" style="width:468pt;height:468pt" o:bullet="t">
        <v:imagedata r:id="rId8" o:title="links[1]"/>
      </v:shape>
    </w:pict>
  </w:numPicBullet>
  <w:numPicBullet w:numPicBulletId="8">
    <w:pict>
      <v:shape id="_x0000_i2105" type="#_x0000_t75" style="width:468pt;height:429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1"/>
  </w:num>
  <w:num w:numId="2">
    <w:abstractNumId w:val="2"/>
  </w:num>
  <w:num w:numId="3">
    <w:abstractNumId w:val="10"/>
  </w:num>
  <w:num w:numId="4">
    <w:abstractNumId w:val="20"/>
  </w:num>
  <w:num w:numId="5">
    <w:abstractNumId w:val="12"/>
  </w:num>
  <w:num w:numId="6">
    <w:abstractNumId w:val="16"/>
  </w:num>
  <w:num w:numId="7">
    <w:abstractNumId w:val="22"/>
  </w:num>
  <w:num w:numId="8">
    <w:abstractNumId w:val="14"/>
  </w:num>
  <w:num w:numId="9">
    <w:abstractNumId w:val="6"/>
  </w:num>
  <w:num w:numId="10">
    <w:abstractNumId w:val="13"/>
  </w:num>
  <w:num w:numId="11">
    <w:abstractNumId w:val="19"/>
  </w:num>
  <w:num w:numId="12">
    <w:abstractNumId w:val="8"/>
  </w:num>
  <w:num w:numId="13">
    <w:abstractNumId w:val="15"/>
  </w:num>
  <w:num w:numId="14">
    <w:abstractNumId w:val="9"/>
  </w:num>
  <w:num w:numId="15">
    <w:abstractNumId w:val="21"/>
  </w:num>
  <w:num w:numId="16">
    <w:abstractNumId w:val="4"/>
  </w:num>
  <w:num w:numId="17">
    <w:abstractNumId w:val="7"/>
  </w:num>
  <w:num w:numId="18">
    <w:abstractNumId w:val="17"/>
  </w:num>
  <w:num w:numId="19">
    <w:abstractNumId w:val="5"/>
  </w:num>
  <w:num w:numId="20">
    <w:abstractNumId w:val="3"/>
  </w:num>
  <w:num w:numId="21">
    <w:abstractNumId w:val="18"/>
  </w:num>
  <w:num w:numId="22">
    <w:abstractNumId w:val="1"/>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6B35"/>
    <w:rsid w:val="000B2A91"/>
    <w:rsid w:val="0011520F"/>
    <w:rsid w:val="0012334C"/>
    <w:rsid w:val="00135F4C"/>
    <w:rsid w:val="001659E3"/>
    <w:rsid w:val="001D1886"/>
    <w:rsid w:val="001F58F9"/>
    <w:rsid w:val="002172FC"/>
    <w:rsid w:val="00254AA3"/>
    <w:rsid w:val="003A66CF"/>
    <w:rsid w:val="003E309F"/>
    <w:rsid w:val="004F45A1"/>
    <w:rsid w:val="00511948"/>
    <w:rsid w:val="0054067B"/>
    <w:rsid w:val="005A3428"/>
    <w:rsid w:val="00605B40"/>
    <w:rsid w:val="006117CB"/>
    <w:rsid w:val="006B4139"/>
    <w:rsid w:val="007A6597"/>
    <w:rsid w:val="007C6CD1"/>
    <w:rsid w:val="00820D51"/>
    <w:rsid w:val="008B4447"/>
    <w:rsid w:val="0091620B"/>
    <w:rsid w:val="00955735"/>
    <w:rsid w:val="0099049A"/>
    <w:rsid w:val="00A614A2"/>
    <w:rsid w:val="00A82233"/>
    <w:rsid w:val="00B806C4"/>
    <w:rsid w:val="00C16D37"/>
    <w:rsid w:val="00CD3E7A"/>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189</cp:revision>
  <dcterms:created xsi:type="dcterms:W3CDTF">2019-10-15T03:30:00Z</dcterms:created>
  <dcterms:modified xsi:type="dcterms:W3CDTF">2022-02-20T01:53:00Z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